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9AD4F" w14:textId="77777777" w:rsidR="00052999" w:rsidRPr="00E659AD" w:rsidRDefault="00052999">
      <w:pPr>
        <w:rPr>
          <w:lang w:val="de-DE"/>
        </w:rPr>
      </w:pPr>
      <w:bookmarkStart w:id="0" w:name="_GoBack"/>
      <w:bookmarkEnd w:id="0"/>
      <w:r w:rsidRPr="00E659AD">
        <w:rPr>
          <w:b/>
          <w:bCs/>
          <w:u w:val="single"/>
          <w:lang w:val="de-DE"/>
        </w:rPr>
        <w:t>Anwendungsbereich</w:t>
      </w:r>
    </w:p>
    <w:p w14:paraId="1009AD50" w14:textId="77777777" w:rsidR="00052999" w:rsidRPr="00E659AD" w:rsidRDefault="00052999">
      <w:pPr>
        <w:rPr>
          <w:lang w:val="de-DE"/>
        </w:rPr>
      </w:pPr>
    </w:p>
    <w:p w14:paraId="1009AD51" w14:textId="77777777" w:rsidR="00052999" w:rsidRPr="00E659AD" w:rsidRDefault="00052999">
      <w:pPr>
        <w:rPr>
          <w:sz w:val="20"/>
          <w:szCs w:val="20"/>
          <w:lang w:val="de-DE"/>
        </w:rPr>
      </w:pPr>
      <w:r w:rsidRPr="00E659AD">
        <w:rPr>
          <w:sz w:val="20"/>
          <w:szCs w:val="20"/>
          <w:lang w:val="de-DE"/>
        </w:rPr>
        <w:t>Wartung und Reparatur von elektrischen Anlagen.</w:t>
      </w:r>
    </w:p>
    <w:p w14:paraId="1009AD52" w14:textId="77777777" w:rsidR="00052999" w:rsidRPr="00E659AD" w:rsidRDefault="00052999">
      <w:pPr>
        <w:rPr>
          <w:lang w:val="de-DE"/>
        </w:rPr>
      </w:pPr>
    </w:p>
    <w:p w14:paraId="1009AD53" w14:textId="77777777" w:rsidR="00052999" w:rsidRPr="00E659AD" w:rsidRDefault="00052999">
      <w:pPr>
        <w:rPr>
          <w:b/>
          <w:bCs/>
          <w:lang w:val="de-DE"/>
        </w:rPr>
      </w:pPr>
    </w:p>
    <w:p w14:paraId="1009AD54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u w:val="single"/>
          <w:lang w:val="de-DE"/>
        </w:rPr>
        <w:t>Was und wie?</w:t>
      </w:r>
    </w:p>
    <w:p w14:paraId="1009AD55" w14:textId="77777777" w:rsidR="00052999" w:rsidRPr="00E659AD" w:rsidRDefault="00052999">
      <w:pPr>
        <w:rPr>
          <w:lang w:val="de-DE"/>
        </w:rPr>
      </w:pPr>
    </w:p>
    <w:p w14:paraId="1009AD56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lang w:val="de-DE"/>
        </w:rPr>
        <w:t>Wenden Sie das Prinzip der lebenswichtigen fünf Punkte an!</w:t>
      </w:r>
    </w:p>
    <w:p w14:paraId="1009AD57" w14:textId="77777777" w:rsidR="00052999" w:rsidRPr="00E659AD" w:rsidRDefault="00052999">
      <w:pPr>
        <w:rPr>
          <w:lang w:val="de-DE"/>
        </w:rPr>
      </w:pPr>
    </w:p>
    <w:p w14:paraId="1009AD58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Freischalten</w:t>
      </w:r>
    </w:p>
    <w:p w14:paraId="1009AD59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Verriegeln</w:t>
      </w:r>
    </w:p>
    <w:p w14:paraId="1009AD5A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Messen</w:t>
      </w:r>
    </w:p>
    <w:p w14:paraId="1009AD5B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Erden und Kurzschließen</w:t>
      </w:r>
    </w:p>
    <w:p w14:paraId="1009AD5C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Abgrenzen</w:t>
      </w:r>
    </w:p>
    <w:p w14:paraId="1009AD5D" w14:textId="77777777" w:rsidR="00052999" w:rsidRPr="00E659AD" w:rsidRDefault="00052999">
      <w:pPr>
        <w:rPr>
          <w:lang w:val="de-DE"/>
        </w:rPr>
      </w:pPr>
    </w:p>
    <w:p w14:paraId="1009AD5E" w14:textId="0845DEAE" w:rsidR="00052999" w:rsidRPr="00E659AD" w:rsidRDefault="00B91B15">
      <w:pPr>
        <w:rPr>
          <w:lang w:val="de-DE"/>
        </w:rPr>
      </w:pPr>
      <w:r>
        <w:rPr>
          <w:noProof/>
        </w:rPr>
        <w:drawing>
          <wp:inline distT="0" distB="0" distL="0" distR="0" wp14:anchorId="1009AD8C" wp14:editId="4AB120D8">
            <wp:extent cx="3179445" cy="424243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9AD5F" w14:textId="77777777" w:rsidR="00052999" w:rsidRPr="00E659AD" w:rsidRDefault="00052999">
      <w:pPr>
        <w:rPr>
          <w:lang w:val="de-DE"/>
        </w:rPr>
      </w:pPr>
    </w:p>
    <w:p w14:paraId="1009AD60" w14:textId="77777777" w:rsidR="00052999" w:rsidRPr="00E659AD" w:rsidRDefault="00052999">
      <w:pPr>
        <w:rPr>
          <w:lang w:val="de-DE"/>
        </w:rPr>
      </w:pPr>
    </w:p>
    <w:p w14:paraId="1009AD61" w14:textId="2769119D" w:rsidR="00052999" w:rsidRPr="00E659AD" w:rsidRDefault="00B91B15">
      <w:pPr>
        <w:numPr>
          <w:ilvl w:val="0"/>
          <w:numId w:val="6"/>
        </w:numPr>
        <w:rPr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5680" behindDoc="1" locked="0" layoutInCell="1" allowOverlap="1" wp14:anchorId="1009AD8D" wp14:editId="7C215FE7">
            <wp:simplePos x="0" y="0"/>
            <wp:positionH relativeFrom="column">
              <wp:posOffset>0</wp:posOffset>
            </wp:positionH>
            <wp:positionV relativeFrom="paragraph">
              <wp:posOffset>-50800</wp:posOffset>
            </wp:positionV>
            <wp:extent cx="962025" cy="800100"/>
            <wp:effectExtent l="19050" t="19050" r="9525" b="0"/>
            <wp:wrapTight wrapText="bothSides">
              <wp:wrapPolygon edited="0">
                <wp:start x="-428" y="-514"/>
                <wp:lineTo x="-428" y="21600"/>
                <wp:lineTo x="21814" y="21600"/>
                <wp:lineTo x="21814" y="-514"/>
                <wp:lineTo x="-428" y="-514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99" w:rsidRPr="00E659AD">
        <w:rPr>
          <w:b/>
          <w:bCs/>
          <w:lang w:val="de-DE"/>
        </w:rPr>
        <w:t xml:space="preserve"> Freischalten</w:t>
      </w:r>
    </w:p>
    <w:p w14:paraId="1009AD62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Schalten Sie die Anlage, an der gearbeitet wird, vollständig aus. Die Unterbrechung erfolgt vorzugsweise auf sichtbare Weise.</w:t>
      </w:r>
    </w:p>
    <w:p w14:paraId="1009AD63" w14:textId="77777777" w:rsidR="00052999" w:rsidRPr="00E659AD" w:rsidRDefault="00052999">
      <w:pPr>
        <w:rPr>
          <w:b/>
          <w:bCs/>
          <w:lang w:val="de-DE"/>
        </w:rPr>
      </w:pPr>
    </w:p>
    <w:p w14:paraId="1009AD64" w14:textId="77777777" w:rsidR="00052999" w:rsidRPr="00E659AD" w:rsidRDefault="00052999">
      <w:pPr>
        <w:rPr>
          <w:b/>
          <w:bCs/>
          <w:lang w:val="de-DE"/>
        </w:rPr>
      </w:pPr>
    </w:p>
    <w:p w14:paraId="1009AD65" w14:textId="77777777" w:rsidR="00052999" w:rsidRPr="00E659AD" w:rsidRDefault="00052999">
      <w:pPr>
        <w:rPr>
          <w:b/>
          <w:bCs/>
          <w:lang w:val="de-DE"/>
        </w:rPr>
      </w:pPr>
    </w:p>
    <w:p w14:paraId="1009AD66" w14:textId="77777777" w:rsidR="00052999" w:rsidRPr="00E659AD" w:rsidRDefault="00052999">
      <w:pPr>
        <w:ind w:left="1620"/>
        <w:rPr>
          <w:b/>
          <w:bCs/>
          <w:lang w:val="de-DE"/>
        </w:rPr>
      </w:pPr>
    </w:p>
    <w:p w14:paraId="1009AD67" w14:textId="0A45EBA9" w:rsidR="00052999" w:rsidRPr="00E659AD" w:rsidRDefault="00B91B15">
      <w:pPr>
        <w:numPr>
          <w:ilvl w:val="0"/>
          <w:numId w:val="6"/>
        </w:numPr>
        <w:rPr>
          <w:b/>
          <w:bCs/>
          <w:lang w:val="de-DE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6704" behindDoc="1" locked="0" layoutInCell="1" allowOverlap="1" wp14:anchorId="1009AD8E" wp14:editId="36D7A79C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942975" cy="771525"/>
            <wp:effectExtent l="19050" t="19050" r="9525" b="9525"/>
            <wp:wrapTight wrapText="bothSides">
              <wp:wrapPolygon edited="0">
                <wp:start x="-436" y="-533"/>
                <wp:lineTo x="-436" y="21867"/>
                <wp:lineTo x="21818" y="21867"/>
                <wp:lineTo x="21818" y="-533"/>
                <wp:lineTo x="-436" y="-533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99" w:rsidRPr="00E659AD">
        <w:rPr>
          <w:b/>
          <w:bCs/>
          <w:lang w:val="de-DE"/>
        </w:rPr>
        <w:t>Verriegeln</w:t>
      </w:r>
    </w:p>
    <w:p w14:paraId="1009AD68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Schützen Sie Ihre Anlage vor ungewolltem Einschalten.</w:t>
      </w:r>
    </w:p>
    <w:p w14:paraId="1009AD69" w14:textId="77777777" w:rsidR="00052999" w:rsidRPr="00E659AD" w:rsidRDefault="00052999">
      <w:pPr>
        <w:rPr>
          <w:b/>
          <w:bCs/>
          <w:lang w:val="de-DE"/>
        </w:rPr>
      </w:pPr>
    </w:p>
    <w:p w14:paraId="1009AD6A" w14:textId="77777777" w:rsidR="00052999" w:rsidRPr="00E659AD" w:rsidRDefault="00052999">
      <w:pPr>
        <w:rPr>
          <w:b/>
          <w:bCs/>
          <w:lang w:val="de-DE"/>
        </w:rPr>
      </w:pPr>
    </w:p>
    <w:p w14:paraId="1009AD6B" w14:textId="77777777" w:rsidR="00052999" w:rsidRPr="00E659AD" w:rsidRDefault="00052999">
      <w:pPr>
        <w:rPr>
          <w:b/>
          <w:bCs/>
          <w:lang w:val="de-DE"/>
        </w:rPr>
      </w:pPr>
    </w:p>
    <w:p w14:paraId="1009AD6C" w14:textId="0539ADE7" w:rsidR="00052999" w:rsidRPr="00E659AD" w:rsidRDefault="00052999">
      <w:pPr>
        <w:ind w:left="1440"/>
        <w:rPr>
          <w:b/>
          <w:bCs/>
          <w:lang w:val="de-DE"/>
        </w:rPr>
      </w:pPr>
      <w:r w:rsidRPr="00E659AD">
        <w:rPr>
          <w:lang w:val="de-DE"/>
        </w:rPr>
        <w:t xml:space="preserve"> </w:t>
      </w:r>
      <w:r w:rsidRPr="00E659AD">
        <w:rPr>
          <w:b/>
          <w:bCs/>
          <w:lang w:val="de-DE"/>
        </w:rPr>
        <w:t xml:space="preserve">     </w:t>
      </w:r>
      <w:r w:rsidRPr="00E659AD">
        <w:rPr>
          <w:lang w:val="de-DE"/>
        </w:rPr>
        <w:t xml:space="preserve">                </w:t>
      </w:r>
      <w:r w:rsidR="00B91B15">
        <w:rPr>
          <w:b/>
          <w:bCs/>
          <w:noProof/>
        </w:rPr>
        <w:drawing>
          <wp:inline distT="0" distB="0" distL="0" distR="0" wp14:anchorId="1009AD8F" wp14:editId="4AB7B8CF">
            <wp:extent cx="1233170" cy="1233170"/>
            <wp:effectExtent l="19050" t="19050" r="5080" b="508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91B15">
        <w:rPr>
          <w:b/>
          <w:bCs/>
          <w:noProof/>
        </w:rPr>
        <w:drawing>
          <wp:inline distT="0" distB="0" distL="0" distR="0" wp14:anchorId="1009AD90" wp14:editId="39E84AE5">
            <wp:extent cx="457200" cy="446405"/>
            <wp:effectExtent l="19050" t="1905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64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09AD6D" w14:textId="77777777" w:rsidR="00052999" w:rsidRPr="00E659AD" w:rsidRDefault="00052999">
      <w:pPr>
        <w:rPr>
          <w:lang w:val="de-DE"/>
        </w:rPr>
      </w:pPr>
    </w:p>
    <w:p w14:paraId="1009AD6E" w14:textId="42EF32FE" w:rsidR="00052999" w:rsidRPr="00E659AD" w:rsidRDefault="00052999">
      <w:pPr>
        <w:rPr>
          <w:b/>
          <w:bCs/>
          <w:lang w:val="de-DE"/>
        </w:rPr>
      </w:pPr>
      <w:r w:rsidRPr="00E659AD">
        <w:rPr>
          <w:b/>
          <w:bCs/>
          <w:lang w:val="de-DE"/>
        </w:rPr>
        <w:tab/>
      </w:r>
      <w:r w:rsidRPr="00E659AD">
        <w:rPr>
          <w:b/>
          <w:bCs/>
          <w:lang w:val="de-DE"/>
        </w:rPr>
        <w:tab/>
      </w:r>
      <w:r w:rsidRPr="00E659AD">
        <w:rPr>
          <w:lang w:val="de-DE"/>
        </w:rPr>
        <w:t xml:space="preserve"> </w:t>
      </w:r>
      <w:r w:rsidRPr="00E659AD">
        <w:rPr>
          <w:b/>
          <w:bCs/>
          <w:lang w:val="de-DE"/>
        </w:rPr>
        <w:t xml:space="preserve">    </w:t>
      </w:r>
      <w:r w:rsidRPr="00E659AD">
        <w:rPr>
          <w:lang w:val="de-DE"/>
        </w:rPr>
        <w:t xml:space="preserve">      </w:t>
      </w:r>
      <w:r w:rsidR="00B91B15">
        <w:rPr>
          <w:b/>
          <w:bCs/>
          <w:noProof/>
        </w:rPr>
        <w:drawing>
          <wp:inline distT="0" distB="0" distL="0" distR="0" wp14:anchorId="1009AD91" wp14:editId="6A2FB2E7">
            <wp:extent cx="1233170" cy="1212215"/>
            <wp:effectExtent l="19050" t="19050" r="508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122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659AD">
        <w:rPr>
          <w:b/>
          <w:bCs/>
          <w:lang w:val="de-DE"/>
        </w:rPr>
        <w:tab/>
      </w:r>
      <w:r w:rsidR="00B91B15">
        <w:rPr>
          <w:b/>
          <w:bCs/>
          <w:noProof/>
        </w:rPr>
        <w:drawing>
          <wp:inline distT="0" distB="0" distL="0" distR="0" wp14:anchorId="1009AD92" wp14:editId="16FD01DD">
            <wp:extent cx="1275715" cy="1265555"/>
            <wp:effectExtent l="19050" t="1905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655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09AD6F" w14:textId="77777777" w:rsidR="00052999" w:rsidRPr="00E659AD" w:rsidRDefault="00052999">
      <w:pPr>
        <w:rPr>
          <w:b/>
          <w:bCs/>
          <w:lang w:val="de-DE"/>
        </w:rPr>
      </w:pPr>
    </w:p>
    <w:p w14:paraId="1009AD70" w14:textId="77777777" w:rsidR="00052999" w:rsidRPr="00E659AD" w:rsidRDefault="00052999">
      <w:pPr>
        <w:rPr>
          <w:b/>
          <w:bCs/>
          <w:lang w:val="de-DE"/>
        </w:rPr>
      </w:pPr>
    </w:p>
    <w:p w14:paraId="1009AD71" w14:textId="119955E6" w:rsidR="00052999" w:rsidRPr="00E659AD" w:rsidRDefault="00B91B15">
      <w:p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1009AD93" wp14:editId="49991A78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933450" cy="771525"/>
            <wp:effectExtent l="19050" t="19050" r="0" b="9525"/>
            <wp:wrapTight wrapText="bothSides">
              <wp:wrapPolygon edited="0">
                <wp:start x="-441" y="-533"/>
                <wp:lineTo x="-441" y="21867"/>
                <wp:lineTo x="21600" y="21867"/>
                <wp:lineTo x="21600" y="-533"/>
                <wp:lineTo x="-441" y="-533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9AD72" w14:textId="77777777" w:rsidR="00052999" w:rsidRPr="00E659AD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Messen</w:t>
      </w:r>
    </w:p>
    <w:p w14:paraId="1009AD73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Unterziehen Sie jeden Leiter, der zur abgeschalteten Anlage gehört, einem Spannungstest. Das Ergebnis muss stets 0 sein. Das Messgerät muss auf den Verwendungszweck abgestimmt und vorher auf den einwandfreien Betrieb geprüft worden sein.</w:t>
      </w:r>
    </w:p>
    <w:p w14:paraId="1009AD74" w14:textId="77777777" w:rsidR="00052999" w:rsidRPr="00E659AD" w:rsidRDefault="00052999">
      <w:pPr>
        <w:rPr>
          <w:b/>
          <w:bCs/>
          <w:lang w:val="de-DE"/>
        </w:rPr>
      </w:pPr>
    </w:p>
    <w:p w14:paraId="1009AD75" w14:textId="77777777" w:rsidR="00052999" w:rsidRPr="00E659AD" w:rsidRDefault="00052999">
      <w:pPr>
        <w:rPr>
          <w:b/>
          <w:bCs/>
          <w:lang w:val="de-DE"/>
        </w:rPr>
      </w:pPr>
    </w:p>
    <w:p w14:paraId="1009AD76" w14:textId="77777777" w:rsidR="00052999" w:rsidRPr="00E659AD" w:rsidRDefault="00052999">
      <w:pPr>
        <w:rPr>
          <w:b/>
          <w:bCs/>
          <w:lang w:val="de-DE"/>
        </w:rPr>
      </w:pPr>
    </w:p>
    <w:p w14:paraId="1009AD77" w14:textId="77777777" w:rsidR="00052999" w:rsidRPr="00E659AD" w:rsidRDefault="00052999">
      <w:pPr>
        <w:rPr>
          <w:b/>
          <w:bCs/>
          <w:lang w:val="de-DE"/>
        </w:rPr>
      </w:pPr>
    </w:p>
    <w:p w14:paraId="1009AD78" w14:textId="77777777" w:rsidR="00052999" w:rsidRPr="00E659AD" w:rsidRDefault="00052999">
      <w:pPr>
        <w:rPr>
          <w:b/>
          <w:bCs/>
          <w:lang w:val="de-DE"/>
        </w:rPr>
      </w:pPr>
    </w:p>
    <w:p w14:paraId="1009AD79" w14:textId="77777777" w:rsidR="00052999" w:rsidRPr="00E659AD" w:rsidRDefault="00052999">
      <w:pPr>
        <w:rPr>
          <w:b/>
          <w:bCs/>
          <w:lang w:val="de-DE"/>
        </w:rPr>
      </w:pPr>
    </w:p>
    <w:p w14:paraId="1009AD7A" w14:textId="77777777" w:rsidR="00052999" w:rsidRPr="00E659AD" w:rsidRDefault="00052999">
      <w:pPr>
        <w:rPr>
          <w:b/>
          <w:bCs/>
          <w:lang w:val="de-DE"/>
        </w:rPr>
      </w:pPr>
    </w:p>
    <w:p w14:paraId="1009AD7B" w14:textId="0AC4A7C4" w:rsidR="00052999" w:rsidRPr="00E659AD" w:rsidRDefault="00B91B15">
      <w:pPr>
        <w:numPr>
          <w:ilvl w:val="0"/>
          <w:numId w:val="6"/>
        </w:num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1009AD94" wp14:editId="74D782DF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99" w:rsidRPr="00E659AD">
        <w:rPr>
          <w:b/>
          <w:bCs/>
          <w:lang w:val="de-DE"/>
        </w:rPr>
        <w:t>Erden und Kurzschließen</w:t>
      </w:r>
    </w:p>
    <w:p w14:paraId="1009AD7C" w14:textId="77777777" w:rsidR="00052999" w:rsidRPr="00E659AD" w:rsidRDefault="00052999">
      <w:pPr>
        <w:rPr>
          <w:b/>
          <w:bCs/>
          <w:lang w:val="de-DE"/>
        </w:rPr>
      </w:pPr>
      <w:r w:rsidRPr="00E659AD">
        <w:rPr>
          <w:b/>
          <w:bCs/>
          <w:lang w:val="de-DE"/>
        </w:rPr>
        <w:sym w:font="Wingdings" w:char="F0E8"/>
      </w:r>
      <w:r w:rsidRPr="00E659AD">
        <w:rPr>
          <w:b/>
          <w:bCs/>
          <w:lang w:val="de-DE"/>
        </w:rPr>
        <w:t xml:space="preserve"> </w:t>
      </w:r>
      <w:r w:rsidRPr="00E659AD">
        <w:rPr>
          <w:lang w:val="de-DE"/>
        </w:rPr>
        <w:t>Danach werden alle Leiter der ausgeschalteten Anlage geerdet und kurzgeschlossen.</w:t>
      </w:r>
    </w:p>
    <w:p w14:paraId="1009AD7D" w14:textId="77777777" w:rsidR="00052999" w:rsidRPr="00E659AD" w:rsidRDefault="00052999">
      <w:pPr>
        <w:rPr>
          <w:b/>
          <w:bCs/>
          <w:lang w:val="de-DE"/>
        </w:rPr>
      </w:pPr>
    </w:p>
    <w:p w14:paraId="1009AD7E" w14:textId="77777777" w:rsidR="00052999" w:rsidRPr="00E659AD" w:rsidRDefault="00052999">
      <w:pPr>
        <w:rPr>
          <w:b/>
          <w:bCs/>
          <w:lang w:val="de-DE"/>
        </w:rPr>
      </w:pPr>
    </w:p>
    <w:p w14:paraId="1009AD7F" w14:textId="77777777" w:rsidR="00052999" w:rsidRPr="00E659AD" w:rsidRDefault="00052999">
      <w:pPr>
        <w:rPr>
          <w:b/>
          <w:bCs/>
          <w:lang w:val="de-DE"/>
        </w:rPr>
      </w:pPr>
    </w:p>
    <w:p w14:paraId="1009AD80" w14:textId="77777777" w:rsidR="00052999" w:rsidRPr="00E659AD" w:rsidRDefault="00052999">
      <w:pPr>
        <w:rPr>
          <w:b/>
          <w:bCs/>
          <w:lang w:val="de-DE"/>
        </w:rPr>
      </w:pPr>
    </w:p>
    <w:p w14:paraId="1009AD81" w14:textId="77777777" w:rsidR="00052999" w:rsidRPr="00E659AD" w:rsidRDefault="00052999">
      <w:pPr>
        <w:rPr>
          <w:b/>
          <w:bCs/>
          <w:lang w:val="de-DE"/>
        </w:rPr>
      </w:pPr>
    </w:p>
    <w:p w14:paraId="1009AD82" w14:textId="4C1524D7" w:rsidR="00052999" w:rsidRPr="00E659AD" w:rsidRDefault="00B91B15">
      <w:p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9776" behindDoc="1" locked="0" layoutInCell="1" allowOverlap="1" wp14:anchorId="1009AD95" wp14:editId="482EF26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9AD83" w14:textId="77777777" w:rsidR="00052999" w:rsidRPr="00E659AD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Abgrenzen</w:t>
      </w:r>
    </w:p>
    <w:p w14:paraId="1009AD84" w14:textId="77777777" w:rsidR="00052999" w:rsidRPr="00E659AD" w:rsidRDefault="00052999">
      <w:pPr>
        <w:rPr>
          <w:lang w:val="de-DE"/>
        </w:rPr>
      </w:pPr>
      <w:r w:rsidRPr="00E659AD">
        <w:rPr>
          <w:lang w:val="de-DE"/>
        </w:rPr>
        <w:sym w:font="Wingdings" w:char="F0E8"/>
      </w:r>
      <w:r w:rsidRPr="00E659AD">
        <w:rPr>
          <w:lang w:val="de-DE"/>
        </w:rPr>
        <w:t xml:space="preserve"> Bringen Sie isolierende Abschirmungsplatten, -tücher oder sonstige Materialien an, um den Kontakt mit unter Spannung stehenden und zugänglichen Teilen nicht freigegebener Anlagen zu verhindern.</w:t>
      </w:r>
    </w:p>
    <w:p w14:paraId="1009AD85" w14:textId="77777777" w:rsidR="00052999" w:rsidRPr="00E659AD" w:rsidRDefault="00052999">
      <w:pPr>
        <w:rPr>
          <w:lang w:val="de-DE"/>
        </w:rPr>
      </w:pPr>
    </w:p>
    <w:p w14:paraId="1009AD86" w14:textId="77777777" w:rsidR="00052999" w:rsidRPr="00E659AD" w:rsidRDefault="00052999">
      <w:pPr>
        <w:rPr>
          <w:lang w:val="de-DE"/>
        </w:rPr>
      </w:pPr>
    </w:p>
    <w:p w14:paraId="1009AD87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lang w:val="de-DE"/>
        </w:rPr>
        <w:t>Hinweis</w:t>
      </w:r>
    </w:p>
    <w:p w14:paraId="1009AD88" w14:textId="77777777" w:rsidR="00052999" w:rsidRPr="00E659AD" w:rsidRDefault="00052999">
      <w:pPr>
        <w:rPr>
          <w:color w:val="000000"/>
          <w:lang w:val="de-DE"/>
        </w:rPr>
      </w:pPr>
      <w:r w:rsidRPr="00E659AD">
        <w:rPr>
          <w:color w:val="000000"/>
          <w:lang w:val="de-DE"/>
        </w:rPr>
        <w:lastRenderedPageBreak/>
        <w:t>Falls angebracht, muss der Verantwortliche für die Ausführung der Arbeiten mit dem Betreiber der Anlage Rücksprache halten.</w:t>
      </w:r>
    </w:p>
    <w:p w14:paraId="1009AD89" w14:textId="77777777" w:rsidR="00052999" w:rsidRPr="00E659AD" w:rsidRDefault="00052999">
      <w:pPr>
        <w:rPr>
          <w:color w:val="000000"/>
          <w:lang w:val="de-DE"/>
        </w:rPr>
      </w:pPr>
    </w:p>
    <w:p w14:paraId="1009AD8A" w14:textId="77777777" w:rsidR="00052999" w:rsidRPr="00E659AD" w:rsidRDefault="00052999">
      <w:pPr>
        <w:rPr>
          <w:color w:val="000000"/>
          <w:lang w:val="de-DE"/>
        </w:rPr>
      </w:pPr>
    </w:p>
    <w:p w14:paraId="1009AD8B" w14:textId="77777777" w:rsidR="00052999" w:rsidRPr="00E659AD" w:rsidRDefault="00052999">
      <w:pPr>
        <w:rPr>
          <w:lang w:val="de-DE"/>
        </w:rPr>
      </w:pPr>
    </w:p>
    <w:p w14:paraId="1009AD8C" w14:textId="77777777" w:rsidR="007828D3" w:rsidRDefault="00B91B15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1009AD8D" w14:textId="77777777" w:rsidR="00AF2BCB" w:rsidRDefault="00B91B15" w:rsidP="00397FD7">
      <w:pPr>
        <w:jc w:val="center"/>
        <w:rPr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9AD96" wp14:editId="1009AD97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ADA0" w14:textId="77777777" w:rsidR="00AF2BCB" w:rsidRPr="006F24BC" w:rsidRDefault="00B91B15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9AD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1009ADA0" w14:textId="77777777" w:rsidR="00AF2BCB" w:rsidRPr="006F24BC" w:rsidRDefault="00B91B15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009AD8E" w14:textId="77777777" w:rsidR="00AF2BCB" w:rsidRDefault="00B91B15" w:rsidP="00397FD7">
      <w:pPr>
        <w:jc w:val="center"/>
        <w:rPr>
          <w:lang w:val="en-US" w:eastAsia="en-US"/>
        </w:rPr>
      </w:pPr>
    </w:p>
    <w:p w14:paraId="1009AD8F" w14:textId="77777777" w:rsidR="00AF2BCB" w:rsidRDefault="00B91B15" w:rsidP="00397FD7">
      <w:pPr>
        <w:jc w:val="center"/>
        <w:rPr>
          <w:lang w:val="en-US" w:eastAsia="en-US"/>
        </w:rPr>
      </w:pPr>
    </w:p>
    <w:p w14:paraId="1009AD90" w14:textId="77777777" w:rsidR="00AF2BCB" w:rsidRDefault="00B91B15" w:rsidP="00397FD7">
      <w:pPr>
        <w:jc w:val="center"/>
        <w:rPr>
          <w:lang w:val="en-US" w:eastAsia="en-US"/>
        </w:rPr>
      </w:pPr>
    </w:p>
    <w:p w14:paraId="1009AD91" w14:textId="77777777" w:rsidR="00AF2BCB" w:rsidRPr="00397FD7" w:rsidRDefault="00B91B15" w:rsidP="00397FD7">
      <w:pPr>
        <w:jc w:val="center"/>
        <w:rPr>
          <w:lang w:val="en-US" w:eastAsia="en-US"/>
        </w:rPr>
      </w:pPr>
    </w:p>
    <w:p w14:paraId="1009AD92" w14:textId="77777777" w:rsidR="00767A51" w:rsidRPr="00A75BEC" w:rsidRDefault="00B91B15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Die fünf lebenswichtigen Punkte beim Arbeiten an elektrischen Anlagen</w:t>
      </w:r>
    </w:p>
    <w:p w14:paraId="1009AD93" w14:textId="77777777" w:rsidR="00397FD7" w:rsidRPr="00A75BEC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1009AD94" w14:textId="77777777" w:rsidR="00397FD7" w:rsidRPr="00A75BEC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KPNWE.WI.11.HSCO.026</w:t>
      </w:r>
    </w:p>
    <w:p w14:paraId="1009AD95" w14:textId="77777777" w:rsidR="00397FD7" w:rsidRPr="00546671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1009AD96" w14:textId="77777777" w:rsidR="00397FD7" w:rsidRPr="004A4248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1009AD97" w14:textId="77777777" w:rsidR="00397FD7" w:rsidRPr="004A4248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1009AD98" w14:textId="77777777" w:rsidR="00397FD7" w:rsidRPr="0075499A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1009AD99" w14:textId="77777777" w:rsidR="00397FD7" w:rsidRPr="0075499A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1009AD9A" w14:textId="77777777" w:rsidR="00397FD7" w:rsidRPr="0075499A" w:rsidRDefault="00B91B1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009AD9B" w14:textId="77777777" w:rsidR="00397FD7" w:rsidRPr="00AF2BCB" w:rsidRDefault="00B91B15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1009AD9C" w14:textId="77777777" w:rsidR="00397FD7" w:rsidRPr="00AF2BCB" w:rsidRDefault="00B91B15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1009AD9D" w14:textId="77777777" w:rsidR="0074156E" w:rsidRPr="00DB0FAC" w:rsidRDefault="00B91B1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1009AD9E" w14:textId="77777777" w:rsidR="0074156E" w:rsidRPr="00DB0FAC" w:rsidRDefault="00B91B1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009AD9F" w14:textId="77777777" w:rsidR="00397FD7" w:rsidRPr="00546671" w:rsidRDefault="00B91B15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1009ADA0" w14:textId="77777777" w:rsidR="00397FD7" w:rsidRPr="004A6E34" w:rsidRDefault="00B91B15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1009ADA1" w14:textId="77777777" w:rsidR="00397FD7" w:rsidRPr="004A6E34" w:rsidRDefault="00B91B15" w:rsidP="00397FD7">
      <w:pPr>
        <w:rPr>
          <w:rFonts w:ascii="Calibri" w:hAnsi="Calibri"/>
          <w:lang w:val="en-US" w:eastAsia="en-US"/>
        </w:rPr>
      </w:pPr>
    </w:p>
    <w:p w14:paraId="1009ADA2" w14:textId="77777777" w:rsidR="00397FD7" w:rsidRPr="004A6E34" w:rsidRDefault="00B91B15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1009ADA6" w14:textId="77777777" w:rsidTr="009A78D1">
        <w:trPr>
          <w:trHeight w:val="567"/>
        </w:trPr>
        <w:tc>
          <w:tcPr>
            <w:tcW w:w="2028" w:type="dxa"/>
          </w:tcPr>
          <w:p w14:paraId="1009ADA3" w14:textId="77777777" w:rsidR="0074156E" w:rsidRPr="00546671" w:rsidRDefault="00B91B15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009ADA4" w14:textId="77777777" w:rsidR="0074156E" w:rsidRPr="00C2067C" w:rsidRDefault="00B91B15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009ADA5" w14:textId="77777777" w:rsidR="0074156E" w:rsidRPr="00C2067C" w:rsidRDefault="00B91B15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009ADAA" w14:textId="77777777" w:rsidTr="009A78D1">
        <w:trPr>
          <w:trHeight w:val="567"/>
        </w:trPr>
        <w:tc>
          <w:tcPr>
            <w:tcW w:w="2028" w:type="dxa"/>
          </w:tcPr>
          <w:p w14:paraId="1009ADA7" w14:textId="77777777" w:rsidR="0074156E" w:rsidRPr="00546671" w:rsidRDefault="00B91B15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009ADA8" w14:textId="77777777" w:rsidR="0074156E" w:rsidRPr="00C2067C" w:rsidRDefault="00B91B15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009ADA9" w14:textId="77777777" w:rsidR="0074156E" w:rsidRPr="00C2067C" w:rsidRDefault="00B91B15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009ADAE" w14:textId="77777777" w:rsidTr="009A78D1">
        <w:trPr>
          <w:trHeight w:val="567"/>
        </w:trPr>
        <w:tc>
          <w:tcPr>
            <w:tcW w:w="2028" w:type="dxa"/>
          </w:tcPr>
          <w:p w14:paraId="1009ADAB" w14:textId="77777777" w:rsidR="0074156E" w:rsidRPr="00546671" w:rsidRDefault="00B91B15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009ADAC" w14:textId="77777777" w:rsidR="0074156E" w:rsidRPr="001E55B9" w:rsidRDefault="00B91B15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1009ADAD" w14:textId="77777777" w:rsidR="0074156E" w:rsidRPr="00546671" w:rsidRDefault="00B91B15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1009ADAF" w14:textId="77777777" w:rsidR="00397FD7" w:rsidRPr="00F81EA5" w:rsidRDefault="00B91B15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1009ADB0" w14:textId="77777777" w:rsidR="00FF76DD" w:rsidRPr="00873483" w:rsidRDefault="00B91B15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009ADB1" w14:textId="77777777" w:rsidR="00E848A8" w:rsidRDefault="00B91B15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09ADB2" w14:textId="77777777" w:rsidR="00E848A8" w:rsidRDefault="00B91B15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09ADB3" w14:textId="77777777" w:rsidR="00E848A8" w:rsidRDefault="00B91B15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09ADB4" w14:textId="77777777" w:rsidR="00E848A8" w:rsidRDefault="00B91B15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009ADB5" w14:textId="77777777" w:rsidR="00E848A8" w:rsidRPr="00E848A8" w:rsidRDefault="00B91B15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9AD98" wp14:editId="1009AD99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9ADA2" w14:textId="77777777" w:rsidR="008B032F" w:rsidRPr="000601F7" w:rsidRDefault="00B91B15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9AD98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009ADA2" w14:textId="77777777" w:rsidR="008B032F" w:rsidRPr="000601F7" w:rsidRDefault="00B91B15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009ADB6" w14:textId="77777777" w:rsidR="00FF76DD" w:rsidRPr="00ED3189" w:rsidRDefault="00B91B15" w:rsidP="00310E5B">
      <w:pPr>
        <w:jc w:val="center"/>
        <w:rPr>
          <w:rFonts w:ascii="Calibri" w:hAnsi="Calibri"/>
          <w:bCs/>
          <w:iCs/>
          <w:lang w:val="en-US"/>
        </w:rPr>
      </w:pPr>
    </w:p>
    <w:p w14:paraId="1009ADB7" w14:textId="77777777" w:rsidR="00FF76DD" w:rsidRDefault="00B91B15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009ADBC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ADB8" w14:textId="77777777" w:rsidR="00FF76DD" w:rsidRPr="00546671" w:rsidRDefault="00B91B15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ADB9" w14:textId="77777777" w:rsidR="00FF76DD" w:rsidRPr="0004563C" w:rsidRDefault="00B91B1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ADBA" w14:textId="77777777" w:rsidR="00FF76DD" w:rsidRPr="0004563C" w:rsidRDefault="00B91B1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ADBB" w14:textId="77777777" w:rsidR="00FF76DD" w:rsidRPr="0004563C" w:rsidRDefault="00B91B15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009ADC1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ADBD" w14:textId="77777777" w:rsidR="00FF76DD" w:rsidRPr="0004563C" w:rsidRDefault="00B91B15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ADBE" w14:textId="77777777" w:rsidR="00FF76DD" w:rsidRPr="0004563C" w:rsidRDefault="00B91B15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ADBF" w14:textId="77777777" w:rsidR="00FF76DD" w:rsidRPr="0004563C" w:rsidRDefault="00B91B15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ADC0" w14:textId="77777777" w:rsidR="00FF76DD" w:rsidRPr="0004563C" w:rsidRDefault="00B91B15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1009ADC2" w14:textId="77777777" w:rsidR="009A78D1" w:rsidRPr="001F3AAC" w:rsidRDefault="00B91B15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9AD9C" w14:textId="77777777" w:rsidR="002525B9" w:rsidRDefault="002525B9">
      <w:pPr>
        <w:rPr>
          <w:lang w:val="de-DE"/>
        </w:rPr>
      </w:pPr>
      <w:r>
        <w:rPr>
          <w:lang w:val="de-DE"/>
        </w:rPr>
        <w:separator/>
      </w:r>
    </w:p>
  </w:endnote>
  <w:endnote w:type="continuationSeparator" w:id="0">
    <w:p w14:paraId="1009AD9D" w14:textId="77777777" w:rsidR="002525B9" w:rsidRDefault="002525B9">
      <w:pPr>
        <w:rPr>
          <w:lang w:val="de-DE"/>
        </w:rPr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ADA7" w14:textId="77777777" w:rsidR="00A947C8" w:rsidRDefault="00B91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ADA9" w14:textId="77777777" w:rsidR="008B032F" w:rsidRPr="00FA7869" w:rsidRDefault="00B91B15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KPNWE.WI.11.HSCO.026</w:t>
    </w:r>
    <w:r>
      <w:rPr>
        <w:sz w:val="18"/>
        <w:szCs w:val="18"/>
        <w:lang w:val="es-ES"/>
      </w:rPr>
      <w:tab/>
    </w:r>
    <w:r>
      <w:rPr>
        <w:sz w:val="18"/>
        <w:szCs w:val="18"/>
        <w:lang w:val="es-ES"/>
      </w:rPr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1009ADAA" w14:textId="2685DF18" w:rsidR="008B032F" w:rsidRPr="00E848A8" w:rsidRDefault="00B91B1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01 Dec 2017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5</w:t>
    </w:r>
    <w:r w:rsidRPr="009D67FF">
      <w:rPr>
        <w:sz w:val="18"/>
        <w:szCs w:val="18"/>
      </w:rPr>
      <w:fldChar w:fldCharType="end"/>
    </w:r>
  </w:p>
  <w:p w14:paraId="1009ADAB" w14:textId="77777777" w:rsidR="00414BF6" w:rsidRPr="00414BF6" w:rsidRDefault="00B91B1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1009ADAC" w14:textId="77777777" w:rsidR="005A05A8" w:rsidRPr="005A05A8" w:rsidRDefault="00B91B15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ADB0" w14:textId="77777777" w:rsidR="00A947C8" w:rsidRDefault="00B91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9AD9A" w14:textId="77777777" w:rsidR="002525B9" w:rsidRDefault="002525B9">
      <w:pPr>
        <w:rPr>
          <w:lang w:val="de-DE"/>
        </w:rPr>
      </w:pPr>
      <w:r>
        <w:rPr>
          <w:lang w:val="de-DE"/>
        </w:rPr>
        <w:separator/>
      </w:r>
    </w:p>
  </w:footnote>
  <w:footnote w:type="continuationSeparator" w:id="0">
    <w:p w14:paraId="1009AD9B" w14:textId="77777777" w:rsidR="002525B9" w:rsidRDefault="002525B9">
      <w:pPr>
        <w:rPr>
          <w:lang w:val="de-DE"/>
        </w:rPr>
      </w:pPr>
      <w:r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ADA2" w14:textId="77777777" w:rsidR="00A947C8" w:rsidRDefault="00B91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ADA4" w14:textId="77777777" w:rsidR="00B47929" w:rsidRDefault="00B91B15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009AD9E" wp14:editId="1009AD9F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Die fünf lebenswichtigen Punkte beim Arbeiten an elektrischen Anlagen</w:t>
    </w:r>
  </w:p>
  <w:p w14:paraId="1009ADA5" w14:textId="77777777" w:rsidR="00113736" w:rsidRPr="003D0918" w:rsidRDefault="00B91B15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ADAE" w14:textId="77777777" w:rsidR="00A947C8" w:rsidRDefault="00B91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14"/>
    <w:rsid w:val="00052999"/>
    <w:rsid w:val="00135598"/>
    <w:rsid w:val="002525B9"/>
    <w:rsid w:val="004606DE"/>
    <w:rsid w:val="00546478"/>
    <w:rsid w:val="00550C52"/>
    <w:rsid w:val="00583AD1"/>
    <w:rsid w:val="005B4FC5"/>
    <w:rsid w:val="00A8247E"/>
    <w:rsid w:val="00AE3914"/>
    <w:rsid w:val="00B16E37"/>
    <w:rsid w:val="00B91B15"/>
    <w:rsid w:val="00BE5B86"/>
    <w:rsid w:val="00C24809"/>
    <w:rsid w:val="00C51327"/>
    <w:rsid w:val="00DC1489"/>
    <w:rsid w:val="00E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1009AD4F"/>
  <w15:docId w15:val="{DA3C041A-0F4C-429B-9C48-C10C090E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478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84E60BEF-80FB-4324-9B7D-E7ECDFD7E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779C0-A7B5-4DB7-8497-FB30416B6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C14EA-16AF-403E-953C-C60C6A1E856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344af80-88ed-49c6-8710-a509718edc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fünf lebenswichtigen Punkte beim Arbeiten an elektrischen Anlagen</vt:lpstr>
      <vt:lpstr>Doelstelling</vt:lpstr>
    </vt:vector>
  </TitlesOfParts>
  <Company>Kuwait Petroleum North West Europe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fünf lebenswichtigen Punkte beim Arbeiten an elektrischen Anlagen</dc:title>
  <dc:creator>joplovie</dc:creator>
  <cp:lastModifiedBy>An Cornelis</cp:lastModifiedBy>
  <cp:revision>2</cp:revision>
  <cp:lastPrinted>2011-08-24T07:45:00Z</cp:lastPrinted>
  <dcterms:created xsi:type="dcterms:W3CDTF">2018-02-06T09:34:00Z</dcterms:created>
  <dcterms:modified xsi:type="dcterms:W3CDTF">2018-02-06T09:34:00Z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KPNWE.WI.11.HSCO.026.docx</vt:lpwstr>
  </property>
</Properties>
</file>