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E2474C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nl-BE"/>
        </w:rPr>
      </w:pPr>
      <w:bookmarkStart w:id="0" w:name="_GoBack"/>
      <w:bookmarkEnd w:id="0"/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446"/>
      </w:tblGrid>
      <w:tr w:rsidR="00F859FC" w:rsidRPr="00D519B6" w14:paraId="65E2474E" w14:textId="77777777">
        <w:tc>
          <w:tcPr>
            <w:tcW w:w="8446" w:type="dxa"/>
            <w:tcBorders>
              <w:top w:val="single" w:sz="18" w:space="0" w:color="auto"/>
            </w:tcBorders>
          </w:tcPr>
          <w:p w14:paraId="65E2474D" w14:textId="77777777" w:rsidR="00F859FC" w:rsidRPr="00D519B6" w:rsidRDefault="00F859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</w:rPr>
            </w:pPr>
            <w:r w:rsidRPr="00D519B6">
              <w:rPr>
                <w:b/>
                <w:sz w:val="24"/>
                <w:szCs w:val="24"/>
                <w:lang w:val="fr-FR"/>
              </w:rPr>
              <w:t>INTRODUCTION AUX ENGINS ÉLEVATEURS</w:t>
            </w:r>
          </w:p>
        </w:tc>
      </w:tr>
      <w:tr w:rsidR="00F859FC" w:rsidRPr="0051688C" w14:paraId="65E24750" w14:textId="77777777">
        <w:tc>
          <w:tcPr>
            <w:tcW w:w="8446" w:type="dxa"/>
            <w:tcBorders>
              <w:bottom w:val="single" w:sz="18" w:space="0" w:color="auto"/>
            </w:tcBorders>
          </w:tcPr>
          <w:p w14:paraId="65E2474F" w14:textId="77777777" w:rsidR="00F859FC" w:rsidRPr="0051688C" w:rsidRDefault="00F859FC" w:rsidP="006C260F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Les engins élévateurs sont généralement utilisés pour les travaux en hauteur lorsque la construction d'un échafaudage n'est pas possible ou souhaitable pour d'autres raisons (temps, emplacement, ...). </w:t>
            </w:r>
            <w:r w:rsidR="00A03E78" w:rsidRPr="00CD78CB">
              <w:rPr>
                <w:sz w:val="20"/>
                <w:szCs w:val="24"/>
                <w:lang w:val="fr-BE"/>
              </w:rPr>
              <w:t>L ‘analyse</w:t>
            </w:r>
            <w:r w:rsidRPr="00CD78CB">
              <w:rPr>
                <w:sz w:val="20"/>
                <w:szCs w:val="24"/>
                <w:lang w:val="fr-BE"/>
              </w:rPr>
              <w:t xml:space="preserve"> des risques nous </w:t>
            </w:r>
            <w:r w:rsidR="00A03E78" w:rsidRPr="00CD78CB">
              <w:rPr>
                <w:sz w:val="20"/>
                <w:szCs w:val="24"/>
                <w:lang w:val="fr-BE"/>
              </w:rPr>
              <w:t>en dira plus</w:t>
            </w:r>
            <w:r w:rsidR="00CD78CB">
              <w:rPr>
                <w:sz w:val="20"/>
                <w:szCs w:val="24"/>
                <w:lang w:val="fr-BE"/>
              </w:rPr>
              <w:t>.</w:t>
            </w:r>
          </w:p>
        </w:tc>
      </w:tr>
    </w:tbl>
    <w:p w14:paraId="65E24751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nl-BE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95"/>
        <w:gridCol w:w="2951"/>
      </w:tblGrid>
      <w:tr w:rsidR="00F859FC" w:rsidRPr="00D519B6" w14:paraId="65E24753" w14:textId="77777777">
        <w:tc>
          <w:tcPr>
            <w:tcW w:w="8446" w:type="dxa"/>
            <w:gridSpan w:val="2"/>
            <w:tcBorders>
              <w:top w:val="single" w:sz="18" w:space="0" w:color="auto"/>
            </w:tcBorders>
          </w:tcPr>
          <w:p w14:paraId="65E24752" w14:textId="77777777" w:rsidR="00F859FC" w:rsidRPr="00D519B6" w:rsidRDefault="00CD78CB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  <w:lang w:val="fr-FR"/>
              </w:rPr>
            </w:pPr>
            <w:r w:rsidRPr="00CD78CB">
              <w:rPr>
                <w:b/>
                <w:color w:val="0000FF"/>
                <w:sz w:val="24"/>
                <w:szCs w:val="24"/>
                <w:lang w:val="fr-FR"/>
              </w:rPr>
              <w:t>EXPLICATION</w:t>
            </w:r>
            <w:r w:rsidR="00F859FC" w:rsidRPr="00D519B6">
              <w:rPr>
                <w:b/>
                <w:sz w:val="24"/>
                <w:szCs w:val="24"/>
                <w:lang w:val="fr-FR"/>
              </w:rPr>
              <w:t xml:space="preserve"> ET RISQUES</w:t>
            </w:r>
          </w:p>
        </w:tc>
      </w:tr>
      <w:tr w:rsidR="00F859FC" w:rsidRPr="0051688C" w14:paraId="65E24756" w14:textId="77777777">
        <w:tc>
          <w:tcPr>
            <w:tcW w:w="5495" w:type="dxa"/>
            <w:tcBorders>
              <w:right w:val="nil"/>
            </w:tcBorders>
          </w:tcPr>
          <w:p w14:paraId="65E2475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5E24755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66" w14:textId="77777777">
        <w:tc>
          <w:tcPr>
            <w:tcW w:w="5495" w:type="dxa"/>
            <w:tcBorders>
              <w:right w:val="nil"/>
            </w:tcBorders>
          </w:tcPr>
          <w:p w14:paraId="65E24757" w14:textId="77777777" w:rsidR="00F859FC" w:rsidRPr="0051688C" w:rsidRDefault="00F859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Définition des engins élévateurs</w:t>
            </w:r>
          </w:p>
          <w:p w14:paraId="65E24758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plateforme de travail pouvant être soulevée</w:t>
            </w:r>
          </w:p>
          <w:p w14:paraId="65E24759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au moyen d'un mécanisme de levage</w:t>
            </w:r>
          </w:p>
          <w:p w14:paraId="65E2475A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1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dans des bras ou des ciseaux</w:t>
            </w:r>
          </w:p>
          <w:p w14:paraId="65E2475B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  <w:lang w:val="fr-FR"/>
              </w:rPr>
            </w:pPr>
          </w:p>
          <w:p w14:paraId="65E2475C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ind w:left="714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par exemple, table élévatrice à ciseaux, nacelles automotrices, engins élévateurs sur véhicules ou remorques, élévateurs télescopiques à mât vertical, nacelles électriques à usage intérieur, …</w:t>
            </w:r>
          </w:p>
          <w:p w14:paraId="65E2475D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1072" behindDoc="0" locked="0" layoutInCell="1" allowOverlap="1" wp14:anchorId="65E2485F" wp14:editId="65E24860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52705</wp:posOffset>
                  </wp:positionV>
                  <wp:extent cx="2305050" cy="1715770"/>
                  <wp:effectExtent l="0" t="0" r="0" b="0"/>
                  <wp:wrapNone/>
                  <wp:docPr id="4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050" cy="1715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</w:tcBorders>
          </w:tcPr>
          <w:p w14:paraId="65E2475E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Exemples :</w:t>
            </w:r>
          </w:p>
          <w:p w14:paraId="65E2475F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entretien (neige, nettoyage, éclairage, ...) </w:t>
            </w:r>
            <w:r w:rsidR="00A03E78">
              <w:rPr>
                <w:sz w:val="20"/>
                <w:szCs w:val="24"/>
                <w:lang w:val="fr-FR"/>
              </w:rPr>
              <w:t>sur</w:t>
            </w:r>
            <w:r w:rsidRPr="0051688C">
              <w:rPr>
                <w:sz w:val="20"/>
                <w:szCs w:val="24"/>
                <w:lang w:val="fr-FR"/>
              </w:rPr>
              <w:t xml:space="preserve"> les toits </w:t>
            </w:r>
            <w:r w:rsidR="00A03E78">
              <w:rPr>
                <w:sz w:val="20"/>
                <w:szCs w:val="24"/>
                <w:lang w:val="fr-FR"/>
              </w:rPr>
              <w:t>ou</w:t>
            </w:r>
            <w:r w:rsidRPr="0051688C">
              <w:rPr>
                <w:sz w:val="20"/>
                <w:szCs w:val="24"/>
                <w:lang w:val="fr-FR"/>
              </w:rPr>
              <w:t xml:space="preserve"> auvent</w:t>
            </w:r>
            <w:r w:rsidR="00A03E78">
              <w:rPr>
                <w:sz w:val="20"/>
                <w:szCs w:val="24"/>
                <w:lang w:val="fr-FR"/>
              </w:rPr>
              <w:t>s</w:t>
            </w:r>
            <w:r w:rsidRPr="0051688C">
              <w:rPr>
                <w:sz w:val="20"/>
                <w:szCs w:val="24"/>
                <w:lang w:val="fr-FR"/>
              </w:rPr>
              <w:t xml:space="preserve"> des stations-service</w:t>
            </w:r>
          </w:p>
          <w:p w14:paraId="65E24760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 sur les caméras de surveillance en hauteur</w:t>
            </w:r>
          </w:p>
          <w:p w14:paraId="65E24761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 sur les appareils d'éclairage en hauteur</w:t>
            </w:r>
          </w:p>
          <w:p w14:paraId="65E24762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</w:t>
            </w:r>
            <w:r w:rsidR="00A03E78">
              <w:rPr>
                <w:sz w:val="20"/>
                <w:szCs w:val="24"/>
                <w:lang w:val="fr-FR"/>
              </w:rPr>
              <w:t xml:space="preserve">pose de la publicité </w:t>
            </w:r>
            <w:r w:rsidRPr="0051688C">
              <w:rPr>
                <w:sz w:val="20"/>
                <w:szCs w:val="24"/>
                <w:lang w:val="fr-FR"/>
              </w:rPr>
              <w:t xml:space="preserve"> sur </w:t>
            </w:r>
            <w:r w:rsidR="00A03E78">
              <w:rPr>
                <w:sz w:val="20"/>
                <w:szCs w:val="24"/>
                <w:lang w:val="fr-FR"/>
              </w:rPr>
              <w:t>des toits ou sur</w:t>
            </w:r>
            <w:r w:rsidRPr="0051688C">
              <w:rPr>
                <w:sz w:val="20"/>
                <w:szCs w:val="24"/>
                <w:lang w:val="fr-FR"/>
              </w:rPr>
              <w:t xml:space="preserve"> auvent</w:t>
            </w:r>
            <w:r w:rsidR="00A03E78">
              <w:rPr>
                <w:sz w:val="20"/>
                <w:szCs w:val="24"/>
                <w:lang w:val="fr-FR"/>
              </w:rPr>
              <w:t xml:space="preserve">s de </w:t>
            </w:r>
            <w:r w:rsidRPr="0051688C">
              <w:rPr>
                <w:sz w:val="20"/>
                <w:szCs w:val="24"/>
                <w:lang w:val="fr-FR"/>
              </w:rPr>
              <w:t>stations-service</w:t>
            </w:r>
          </w:p>
          <w:p w14:paraId="65E24763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application/retrait des panneaux sur les réservoirs de stockage</w:t>
            </w:r>
          </w:p>
          <w:p w14:paraId="65E24764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0"/>
                <w:lang w:val="nl-BE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travail/nettoyage des fenêtres des immeubles de bureaux</w:t>
            </w:r>
          </w:p>
          <w:p w14:paraId="65E24765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2096" behindDoc="0" locked="0" layoutInCell="1" allowOverlap="1" wp14:anchorId="65E24861" wp14:editId="65E24862">
                  <wp:simplePos x="0" y="0"/>
                  <wp:positionH relativeFrom="column">
                    <wp:posOffset>234950</wp:posOffset>
                  </wp:positionH>
                  <wp:positionV relativeFrom="paragraph">
                    <wp:posOffset>47625</wp:posOffset>
                  </wp:positionV>
                  <wp:extent cx="1342390" cy="2286000"/>
                  <wp:effectExtent l="0" t="0" r="0" b="0"/>
                  <wp:wrapNone/>
                  <wp:docPr id="5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F859FC" w:rsidRPr="00CE3E86" w14:paraId="65E24775" w14:textId="77777777">
        <w:tc>
          <w:tcPr>
            <w:tcW w:w="8446" w:type="dxa"/>
            <w:gridSpan w:val="2"/>
          </w:tcPr>
          <w:p w14:paraId="65E24767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3120" behindDoc="0" locked="0" layoutInCell="1" allowOverlap="1" wp14:anchorId="65E24863" wp14:editId="65E24864">
                  <wp:simplePos x="0" y="0"/>
                  <wp:positionH relativeFrom="column">
                    <wp:posOffset>2323465</wp:posOffset>
                  </wp:positionH>
                  <wp:positionV relativeFrom="paragraph">
                    <wp:posOffset>43180</wp:posOffset>
                  </wp:positionV>
                  <wp:extent cx="1479550" cy="1976120"/>
                  <wp:effectExtent l="0" t="0" r="6350" b="5080"/>
                  <wp:wrapNone/>
                  <wp:docPr id="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9550" cy="1976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E24768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9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A" w14:textId="77777777" w:rsidR="00F859FC" w:rsidRPr="0051688C" w:rsidRDefault="00435AC1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4144" behindDoc="0" locked="0" layoutInCell="1" allowOverlap="1" wp14:anchorId="65E24865" wp14:editId="65E24866">
                  <wp:simplePos x="0" y="0"/>
                  <wp:positionH relativeFrom="column">
                    <wp:posOffset>123825</wp:posOffset>
                  </wp:positionH>
                  <wp:positionV relativeFrom="paragraph">
                    <wp:posOffset>111760</wp:posOffset>
                  </wp:positionV>
                  <wp:extent cx="2073275" cy="1555115"/>
                  <wp:effectExtent l="0" t="0" r="3175" b="6985"/>
                  <wp:wrapNone/>
                  <wp:docPr id="6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73275" cy="1555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5E2476B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C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D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E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6F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0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1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2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3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7F" w14:textId="77777777">
        <w:tc>
          <w:tcPr>
            <w:tcW w:w="8446" w:type="dxa"/>
            <w:gridSpan w:val="2"/>
            <w:tcBorders>
              <w:bottom w:val="single" w:sz="18" w:space="0" w:color="auto"/>
            </w:tcBorders>
          </w:tcPr>
          <w:p w14:paraId="65E24776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  <w:p w14:paraId="65E24777" w14:textId="77777777" w:rsidR="00F859FC" w:rsidRPr="0051688C" w:rsidRDefault="00F859FC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Les risques suivants sont présents... (description des risques + pictogrammes) :</w:t>
            </w:r>
          </w:p>
          <w:p w14:paraId="65E24778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chute de personnes</w:t>
            </w:r>
            <w:r w:rsidRPr="0051688C">
              <w:rPr>
                <w:sz w:val="20"/>
                <w:szCs w:val="24"/>
                <w:lang w:val="fr-FR"/>
              </w:rPr>
              <w:t xml:space="preserve"> des engins élévateurs lorsque la plate-forme se déplace brusquement ou si l'opérateur quitte la nacelle (en étant debout sur la balustrade)</w:t>
            </w:r>
          </w:p>
          <w:p w14:paraId="65E24779" w14:textId="77777777" w:rsidR="00F859FC" w:rsidRPr="0051688C" w:rsidRDefault="00435AC1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5168" behindDoc="0" locked="0" layoutInCell="1" allowOverlap="1" wp14:anchorId="65E24867" wp14:editId="65E24868">
                  <wp:simplePos x="0" y="0"/>
                  <wp:positionH relativeFrom="column">
                    <wp:posOffset>4028440</wp:posOffset>
                  </wp:positionH>
                  <wp:positionV relativeFrom="paragraph">
                    <wp:posOffset>88900</wp:posOffset>
                  </wp:positionV>
                  <wp:extent cx="676275" cy="412750"/>
                  <wp:effectExtent l="0" t="0" r="9525" b="6350"/>
                  <wp:wrapNone/>
                  <wp:docPr id="7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412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b/>
                <w:sz w:val="20"/>
                <w:szCs w:val="24"/>
                <w:lang w:val="fr-FR"/>
              </w:rPr>
              <w:t>pincement de personnes</w:t>
            </w:r>
            <w:r w:rsidR="00F859FC" w:rsidRPr="0051688C">
              <w:rPr>
                <w:b/>
                <w:szCs w:val="24"/>
                <w:lang w:val="fr-FR"/>
              </w:rPr>
              <w:t xml:space="preserve"> 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(ou des parties du corps) </w:t>
            </w:r>
            <w:r w:rsidR="00F859FC" w:rsidRPr="0051688C">
              <w:rPr>
                <w:sz w:val="20"/>
                <w:szCs w:val="24"/>
                <w:lang w:val="fr-FR"/>
              </w:rPr>
              <w:br/>
              <w:t>dans la nacelle ou entre la nacelle et d'autres objets</w:t>
            </w:r>
          </w:p>
          <w:p w14:paraId="65E2477A" w14:textId="77777777" w:rsidR="00F859FC" w:rsidRPr="004C154D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b/>
                <w:sz w:val="20"/>
                <w:szCs w:val="24"/>
                <w:lang w:val="fr-BE"/>
              </w:rPr>
            </w:pPr>
            <w:r w:rsidRPr="004C154D">
              <w:rPr>
                <w:b/>
                <w:sz w:val="20"/>
                <w:szCs w:val="24"/>
                <w:lang w:val="fr-BE"/>
              </w:rPr>
              <w:t>chute de matériaux</w:t>
            </w:r>
          </w:p>
          <w:p w14:paraId="65E2477B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 xml:space="preserve">renversement des engins élévateurs </w:t>
            </w:r>
            <w:r w:rsidRPr="0051688C">
              <w:rPr>
                <w:sz w:val="20"/>
                <w:szCs w:val="24"/>
                <w:lang w:val="fr-FR"/>
              </w:rPr>
              <w:t>(collision, enfoncement, vent asymétrique)</w:t>
            </w:r>
          </w:p>
          <w:p w14:paraId="65E2477C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contact avec les </w:t>
            </w:r>
            <w:r w:rsidRPr="0051688C">
              <w:rPr>
                <w:b/>
                <w:sz w:val="20"/>
                <w:szCs w:val="24"/>
                <w:lang w:val="fr-FR"/>
              </w:rPr>
              <w:t xml:space="preserve">parties sous tension </w:t>
            </w:r>
            <w:r w:rsidRPr="0051688C">
              <w:rPr>
                <w:sz w:val="20"/>
                <w:szCs w:val="24"/>
                <w:lang w:val="fr-FR"/>
              </w:rPr>
              <w:t>(par exemple, les lignes électriques)</w:t>
            </w:r>
          </w:p>
          <w:p w14:paraId="65E2477D" w14:textId="77777777" w:rsidR="00F859FC" w:rsidRPr="0051688C" w:rsidRDefault="00F859FC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60"/>
              <w:ind w:left="709" w:hanging="357"/>
              <w:rPr>
                <w:sz w:val="20"/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pas le temps de fuir en cas d'urgence</w:t>
            </w:r>
          </w:p>
          <w:p w14:paraId="65E2477E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65E24780" w14:textId="77777777" w:rsidR="00F859FC" w:rsidRPr="0051688C" w:rsidRDefault="00F859FC">
      <w:pPr>
        <w:autoSpaceDE w:val="0"/>
        <w:autoSpaceDN w:val="0"/>
        <w:adjustRightInd w:val="0"/>
        <w:rPr>
          <w:sz w:val="20"/>
          <w:szCs w:val="24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D519B6" w14:paraId="65E24782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5E24781" w14:textId="77777777" w:rsidR="00F859FC" w:rsidRPr="00D519B6" w:rsidRDefault="00F859FC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spacing w:before="120"/>
              <w:ind w:left="426"/>
              <w:rPr>
                <w:b/>
                <w:szCs w:val="24"/>
              </w:rPr>
            </w:pPr>
            <w:r w:rsidRPr="00D519B6">
              <w:rPr>
                <w:b/>
                <w:sz w:val="24"/>
                <w:szCs w:val="24"/>
                <w:lang w:val="fr-FR"/>
              </w:rPr>
              <w:lastRenderedPageBreak/>
              <w:t>EXIGENCES DE SÉCURITÉ</w:t>
            </w:r>
          </w:p>
        </w:tc>
      </w:tr>
      <w:tr w:rsidR="00F859FC" w:rsidRPr="0051688C" w14:paraId="65E24785" w14:textId="77777777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65E24783" w14:textId="77777777" w:rsidR="00F859FC" w:rsidRPr="00D519B6" w:rsidRDefault="00A03E78">
            <w:pPr>
              <w:autoSpaceDE w:val="0"/>
              <w:autoSpaceDN w:val="0"/>
              <w:adjustRightInd w:val="0"/>
              <w:spacing w:before="60"/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</w:pPr>
            <w:r w:rsidRPr="00D519B6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>EN TOUTE CIRCONSTANCE</w:t>
            </w:r>
          </w:p>
          <w:p w14:paraId="65E24784" w14:textId="77777777" w:rsidR="00F859FC" w:rsidRPr="0051688C" w:rsidRDefault="00F859FC">
            <w:pPr>
              <w:autoSpaceDE w:val="0"/>
              <w:autoSpaceDN w:val="0"/>
              <w:adjustRightInd w:val="0"/>
              <w:spacing w:before="60"/>
              <w:jc w:val="right"/>
              <w:rPr>
                <w:szCs w:val="24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VÉRIFIER</w:t>
            </w:r>
          </w:p>
        </w:tc>
      </w:tr>
      <w:tr w:rsidR="00F859FC" w:rsidRPr="00CE3E86" w14:paraId="65E24788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86" w14:textId="77777777" w:rsidR="00F859FC" w:rsidRPr="00443DEE" w:rsidRDefault="00435AC1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>
              <w:rPr>
                <w:b/>
                <w:noProof/>
                <w:snapToGrid/>
                <w:lang w:eastAsia="en-GB"/>
              </w:rPr>
              <w:drawing>
                <wp:anchor distT="0" distB="0" distL="114300" distR="114300" simplePos="0" relativeHeight="251656192" behindDoc="0" locked="0" layoutInCell="1" allowOverlap="1" wp14:anchorId="65E24869" wp14:editId="65E2486A">
                  <wp:simplePos x="0" y="0"/>
                  <wp:positionH relativeFrom="column">
                    <wp:posOffset>3957955</wp:posOffset>
                  </wp:positionH>
                  <wp:positionV relativeFrom="paragraph">
                    <wp:posOffset>211455</wp:posOffset>
                  </wp:positionV>
                  <wp:extent cx="431800" cy="431800"/>
                  <wp:effectExtent l="0" t="0" r="6350" b="6350"/>
                  <wp:wrapNone/>
                  <wp:docPr id="8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443DEE">
              <w:rPr>
                <w:b/>
                <w:sz w:val="20"/>
                <w:szCs w:val="24"/>
                <w:lang w:val="fr-FR"/>
              </w:rPr>
              <w:t>LES ÉQUIPEMENT DE PROTECTION INDIVIDUELLE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787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78B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89" w14:textId="77777777" w:rsidR="00F859FC" w:rsidRPr="0051688C" w:rsidRDefault="00435AC1" w:rsidP="00A03E78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7216" behindDoc="0" locked="0" layoutInCell="1" allowOverlap="1" wp14:anchorId="65E2486B" wp14:editId="65E2486C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304165</wp:posOffset>
                  </wp:positionV>
                  <wp:extent cx="431800" cy="431800"/>
                  <wp:effectExtent l="0" t="0" r="6350" b="6350"/>
                  <wp:wrapNone/>
                  <wp:docPr id="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 xml:space="preserve">casque de sécurité, avec </w:t>
            </w:r>
            <w:r w:rsidR="00A03E78">
              <w:rPr>
                <w:sz w:val="20"/>
                <w:szCs w:val="24"/>
                <w:lang w:val="fr-FR"/>
              </w:rPr>
              <w:t>sangle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au menton en plein air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8A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8E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8C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8240" behindDoc="0" locked="0" layoutInCell="1" allowOverlap="1" wp14:anchorId="65E2486D" wp14:editId="65E2486E">
                  <wp:simplePos x="0" y="0"/>
                  <wp:positionH relativeFrom="column">
                    <wp:posOffset>3609975</wp:posOffset>
                  </wp:positionH>
                  <wp:positionV relativeFrom="paragraph">
                    <wp:posOffset>257175</wp:posOffset>
                  </wp:positionV>
                  <wp:extent cx="431800" cy="431800"/>
                  <wp:effectExtent l="0" t="0" r="6350" b="6350"/>
                  <wp:wrapNone/>
                  <wp:docPr id="1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chaussures ou bottes de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8D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91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8F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59264" behindDoc="0" locked="0" layoutInCell="1" allowOverlap="1" wp14:anchorId="65E2486F" wp14:editId="65E24870">
                  <wp:simplePos x="0" y="0"/>
                  <wp:positionH relativeFrom="column">
                    <wp:posOffset>4041775</wp:posOffset>
                  </wp:positionH>
                  <wp:positionV relativeFrom="paragraph">
                    <wp:posOffset>135890</wp:posOffset>
                  </wp:positionV>
                  <wp:extent cx="485775" cy="485775"/>
                  <wp:effectExtent l="0" t="0" r="9525" b="9525"/>
                  <wp:wrapNone/>
                  <wp:docPr id="1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harnais, correctement fixé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90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94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92" w14:textId="77777777" w:rsidR="00F859FC" w:rsidRPr="0051688C" w:rsidRDefault="00435AC1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65E24871" wp14:editId="65E24872">
                  <wp:simplePos x="0" y="0"/>
                  <wp:positionH relativeFrom="column">
                    <wp:posOffset>4178300</wp:posOffset>
                  </wp:positionH>
                  <wp:positionV relativeFrom="paragraph">
                    <wp:posOffset>282575</wp:posOffset>
                  </wp:positionV>
                  <wp:extent cx="431800" cy="431800"/>
                  <wp:effectExtent l="0" t="0" r="6350" b="6350"/>
                  <wp:wrapNone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1800" cy="431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vêtements à haute visibilité et résistant aux intempéries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93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97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95" w14:textId="77777777" w:rsidR="00F859FC" w:rsidRPr="0051688C" w:rsidRDefault="00F859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gilet de sauvetage lorsque la plate-forme est près de l'eau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96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9A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98" w14:textId="77777777" w:rsidR="00F859FC" w:rsidRPr="0051688C" w:rsidRDefault="00F859FC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lunettes, gants et protections auditives et oculaires, si nécessaire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99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9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9B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5E2479C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A0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9E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PRÉPARATION POUR TRAVAILLER AVEC LES ENGINS ÉLEVATEURS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9F" w14:textId="77777777" w:rsidR="00F859FC" w:rsidRPr="00443DEE" w:rsidRDefault="00F859FC">
            <w:pPr>
              <w:autoSpaceDE w:val="0"/>
              <w:autoSpaceDN w:val="0"/>
              <w:adjustRightInd w:val="0"/>
              <w:spacing w:before="120" w:after="12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7A3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A1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Évaluation des travaux (RI&amp;E)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A2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A6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A4" w14:textId="77777777" w:rsidR="00F859FC" w:rsidRPr="0051688C" w:rsidRDefault="00F859FC">
            <w:pPr>
              <w:autoSpaceDE w:val="0"/>
              <w:autoSpaceDN w:val="0"/>
              <w:adjustRightInd w:val="0"/>
              <w:ind w:left="1134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Durée, nombre de personnes sur la plate-forme de travail, besoin de matériel en hauteur, présence d’interférences avec d’autres entrepreneurs sur le site,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5E247A5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A9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A7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Terrain, exploration, évaluation et mesures pour 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A8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B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AA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conduites souterraines et espaces : marquage ...</w:t>
            </w:r>
          </w:p>
          <w:p w14:paraId="65E247AB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conduites aériennes et obstacles : éloigner, plan,</w:t>
            </w:r>
          </w:p>
          <w:p w14:paraId="65E247AC" w14:textId="77777777" w:rsidR="00F859FC" w:rsidRPr="0051688C" w:rsidRDefault="00435A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1312" behindDoc="1" locked="0" layoutInCell="1" allowOverlap="1" wp14:anchorId="65E24873" wp14:editId="65E24874">
                  <wp:simplePos x="0" y="0"/>
                  <wp:positionH relativeFrom="column">
                    <wp:posOffset>4267200</wp:posOffset>
                  </wp:positionH>
                  <wp:positionV relativeFrom="paragraph">
                    <wp:posOffset>0</wp:posOffset>
                  </wp:positionV>
                  <wp:extent cx="972185" cy="972185"/>
                  <wp:effectExtent l="0" t="0" r="0" b="0"/>
                  <wp:wrapNone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85" cy="97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E2C9F">
              <w:rPr>
                <w:sz w:val="20"/>
                <w:szCs w:val="24"/>
                <w:lang w:val="fr-FR"/>
              </w:rPr>
              <w:t>câbles aériens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haute tension et/ou lignes téléphoniques</w:t>
            </w:r>
          </w:p>
          <w:p w14:paraId="65E247AD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possibilités et sous-sol uniforme - parois</w:t>
            </w:r>
          </w:p>
          <w:p w14:paraId="65E247AE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fosses et tranchées (et bordures)</w:t>
            </w:r>
          </w:p>
          <w:p w14:paraId="65E247A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vérifier l'espace disponible pour les mouvements avant de positionner l’engin élévateur</w:t>
            </w:r>
          </w:p>
          <w:p w14:paraId="65E247B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clôture et signalisation de/dans la zone</w:t>
            </w:r>
          </w:p>
          <w:p w14:paraId="65E247B1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5E247B2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B6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B4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Conditions atmosphériques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B5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65E247B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B7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interdiction d’utiliser les engins élévateurs en cas de :</w:t>
            </w:r>
          </w:p>
          <w:p w14:paraId="65E247B8" w14:textId="77777777" w:rsidR="00F859FC" w:rsidRPr="0051688C" w:rsidRDefault="00F859F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vitesse du vent&gt; 6 Beaufort (&gt; 50 km/h)</w:t>
            </w:r>
          </w:p>
          <w:p w14:paraId="65E247B9" w14:textId="77777777" w:rsidR="00F859FC" w:rsidRPr="0051688C" w:rsidRDefault="00F859FC">
            <w:pPr>
              <w:numPr>
                <w:ilvl w:val="3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orages violents</w:t>
            </w:r>
          </w:p>
          <w:p w14:paraId="65E247BA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prévoir que les opérateurs et le personnel de la plate-forme de travail portent des vêtements appropriés aux intempéries (froid/humidité)</w:t>
            </w:r>
          </w:p>
          <w:p w14:paraId="65E247BB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noter que le froid peut affecter la concentration des opérateurs (contrôle/surveillance requise)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7BC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C0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BE" w14:textId="77777777" w:rsidR="00F859FC" w:rsidRPr="0051688C" w:rsidRDefault="00F859FC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Plan d'urgence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BF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65E247C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C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scénarios d'accidents liés aux engins élévateurs</w:t>
            </w:r>
          </w:p>
          <w:p w14:paraId="65E247C2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instruction/formation du personnel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7C3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C7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5E247C5" w14:textId="77777777" w:rsidR="00F859FC" w:rsidRPr="0051688C" w:rsidRDefault="00F859FC">
            <w:p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7C6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65E247C8" w14:textId="77777777" w:rsidR="00F859FC" w:rsidRPr="00443DEE" w:rsidRDefault="00F859FC">
      <w:pPr>
        <w:rPr>
          <w:sz w:val="16"/>
          <w:szCs w:val="16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51688C" w14:paraId="65E247CA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5E247C9" w14:textId="77777777" w:rsidR="00F859FC" w:rsidRPr="0051688C" w:rsidRDefault="00CE2C9F" w:rsidP="00443DEE">
            <w:pPr>
              <w:tabs>
                <w:tab w:val="right" w:pos="8230"/>
              </w:tabs>
              <w:autoSpaceDE w:val="0"/>
              <w:autoSpaceDN w:val="0"/>
              <w:adjustRightInd w:val="0"/>
              <w:spacing w:before="60" w:after="120"/>
              <w:rPr>
                <w:szCs w:val="24"/>
                <w:lang w:val="fr-FR"/>
              </w:rPr>
            </w:pPr>
            <w:r w:rsidRPr="00D519B6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lastRenderedPageBreak/>
              <w:t>EN TOUTE CIRCONSTANCE !!!</w:t>
            </w:r>
            <w:r w:rsidR="00443DEE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ab/>
            </w:r>
            <w:r w:rsidR="00443DEE" w:rsidRPr="00443DEE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Vérifier</w:t>
            </w:r>
          </w:p>
        </w:tc>
      </w:tr>
      <w:tr w:rsidR="00F859FC" w:rsidRPr="00CE3E86" w14:paraId="65E247CD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CB" w14:textId="77777777" w:rsidR="00F859FC" w:rsidRPr="00443DEE" w:rsidRDefault="00F859FC" w:rsidP="0051688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EXIGENCES RELATIVES AU PERSONNEL DES ENGINS ÉLEVATEURS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CC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7D4" w14:textId="77777777" w:rsidTr="00443DEE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CE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&gt; 18 ans</w:t>
            </w:r>
          </w:p>
          <w:p w14:paraId="65E247C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commande de l’engin élévateur uniquement par un personnel qualifié</w:t>
            </w:r>
          </w:p>
          <w:p w14:paraId="65E247D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instructions claires pour le personnel de la nacelle</w:t>
            </w:r>
          </w:p>
          <w:p w14:paraId="65E247D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bonne communication du personnel dans la nacelle et au sol </w:t>
            </w:r>
            <w:r w:rsidRPr="0051688C">
              <w:rPr>
                <w:sz w:val="20"/>
                <w:szCs w:val="24"/>
                <w:lang w:val="fr-FR"/>
              </w:rPr>
              <w:br/>
            </w:r>
            <w:r w:rsidRPr="0051688C">
              <w:rPr>
                <w:sz w:val="20"/>
                <w:szCs w:val="20"/>
                <w:lang w:val="fr-FR"/>
              </w:rPr>
              <w:sym w:font="Wingdings" w:char="F0E0"/>
            </w:r>
            <w:r w:rsidRPr="0051688C">
              <w:rPr>
                <w:sz w:val="20"/>
                <w:szCs w:val="24"/>
                <w:lang w:val="fr-FR"/>
              </w:rPr>
              <w:t xml:space="preserve"> talkie-walkie nécessaire si la hauteur est supérieure à 25 mètres</w:t>
            </w:r>
          </w:p>
          <w:p w14:paraId="65E247D2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l'ensemble du personnel doit toujours être clairement visible, aussi bien dans la nacelle que sur le sol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7D3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443DEE" w:rsidRPr="00CE3E86" w14:paraId="65E247D7" w14:textId="77777777" w:rsidTr="00443DEE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D5" w14:textId="77777777" w:rsidR="00443DEE" w:rsidRPr="0051688C" w:rsidRDefault="00443DEE" w:rsidP="004B3F9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5E247D6" w14:textId="77777777" w:rsidR="00443DEE" w:rsidRPr="0051688C" w:rsidRDefault="00443DEE" w:rsidP="004B3F96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DA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D8" w14:textId="77777777" w:rsidR="00F859FC" w:rsidRPr="00443DEE" w:rsidRDefault="00F859FC" w:rsidP="00443DEE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ÉQUIPEMENT DE SÉCURITÉ DES ENGINS ÉLEVATEURS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7D9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7DD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DB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dans les zones explosives : pare-étincelles sur échappement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DC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E0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DE" w14:textId="77777777" w:rsidR="00F859FC" w:rsidRPr="00CD78CB" w:rsidRDefault="00F859FC" w:rsidP="00CD78CB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BE"/>
              </w:rPr>
            </w:pPr>
            <w:r w:rsidRPr="00CD78CB">
              <w:rPr>
                <w:sz w:val="20"/>
                <w:szCs w:val="24"/>
                <w:lang w:val="fr-BE"/>
              </w:rPr>
              <w:t xml:space="preserve">signal sonore de </w:t>
            </w:r>
            <w:r w:rsidR="00CD78CB">
              <w:rPr>
                <w:sz w:val="20"/>
                <w:szCs w:val="24"/>
                <w:lang w:val="fr-BE"/>
              </w:rPr>
              <w:t>déplacement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DF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65E247E3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E1" w14:textId="77777777" w:rsidR="00F859FC" w:rsidRPr="0051688C" w:rsidRDefault="00435AC1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65E24875" wp14:editId="65E24876">
                  <wp:simplePos x="0" y="0"/>
                  <wp:positionH relativeFrom="column">
                    <wp:posOffset>3619500</wp:posOffset>
                  </wp:positionH>
                  <wp:positionV relativeFrom="paragraph">
                    <wp:posOffset>152400</wp:posOffset>
                  </wp:positionV>
                  <wp:extent cx="1191260" cy="1708785"/>
                  <wp:effectExtent l="0" t="0" r="8890" b="5715"/>
                  <wp:wrapNone/>
                  <wp:docPr id="14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1260" cy="170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produit extincteur approprié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E2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65E247E6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E4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protection de surcharge et limiteur de charge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E5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E9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E7" w14:textId="77777777" w:rsidR="00F859FC" w:rsidRPr="0051688C" w:rsidRDefault="00F859FC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protection contre le renversement</w:t>
            </w:r>
          </w:p>
        </w:tc>
        <w:tc>
          <w:tcPr>
            <w:tcW w:w="400" w:type="dxa"/>
            <w:tcBorders>
              <w:top w:val="single" w:sz="18" w:space="0" w:color="auto"/>
              <w:bottom w:val="nil"/>
            </w:tcBorders>
          </w:tcPr>
          <w:p w14:paraId="65E247E8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7EC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EA" w14:textId="77777777" w:rsidR="00F859FC" w:rsidRPr="0051688C" w:rsidRDefault="00CD78CB" w:rsidP="00443DEE">
            <w:pPr>
              <w:numPr>
                <w:ilvl w:val="0"/>
                <w:numId w:val="39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>
              <w:rPr>
                <w:sz w:val="20"/>
                <w:szCs w:val="24"/>
                <w:lang w:val="fr-FR"/>
              </w:rPr>
              <w:t>valve</w:t>
            </w:r>
            <w:r w:rsidR="00F859FC" w:rsidRPr="0051688C">
              <w:rPr>
                <w:sz w:val="20"/>
                <w:szCs w:val="24"/>
                <w:lang w:val="fr-FR"/>
              </w:rPr>
              <w:t xml:space="preserve"> de descente d'urgence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EB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443DEE" w:rsidRPr="0051688C" w14:paraId="65E247EF" w14:textId="77777777" w:rsidTr="004B3F96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ED" w14:textId="77777777" w:rsidR="00443DEE" w:rsidRPr="0051688C" w:rsidRDefault="00443DEE" w:rsidP="004B3F96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5E247EE" w14:textId="77777777" w:rsidR="00443DEE" w:rsidRPr="0051688C" w:rsidRDefault="00443DEE" w:rsidP="004B3F96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443DEE" w14:paraId="65E247F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F0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nl-NL"/>
              </w:rPr>
            </w:pPr>
            <w:r w:rsidRPr="00443DEE">
              <w:rPr>
                <w:b/>
                <w:sz w:val="20"/>
                <w:szCs w:val="24"/>
                <w:lang w:val="nl-NL"/>
              </w:rPr>
              <w:t>DOCUMENTS REQUIS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7F1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nl-BE"/>
              </w:rPr>
            </w:pPr>
          </w:p>
        </w:tc>
      </w:tr>
      <w:tr w:rsidR="00F859FC" w:rsidRPr="0051688C" w14:paraId="65E247F5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F3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certificat CE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F4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51688C" w14:paraId="65E247F8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F6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rapport d'inspection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F7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65E247FB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F9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manuel d’instructions de la machine en langue locale (de l'utilisateur)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FA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7FE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7FC" w14:textId="77777777" w:rsidR="00F859FC" w:rsidRPr="0051688C" w:rsidRDefault="00F859FC" w:rsidP="00443DE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manuel d’outils renseigné (examens, inspections, entretien)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7FD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60" w:after="6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01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7FF" w14:textId="77777777" w:rsidR="00F859FC" w:rsidRPr="0051688C" w:rsidRDefault="00F859F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800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04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02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12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CONTROLE ET INSPECTION DES ENGINS ÉLEVATEURS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803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51688C" w14:paraId="65E24807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805" w14:textId="77777777" w:rsidR="00F859FC" w:rsidRPr="0051688C" w:rsidRDefault="00F859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</w:rPr>
            </w:pPr>
            <w:r w:rsidRPr="0051688C">
              <w:rPr>
                <w:sz w:val="20"/>
                <w:szCs w:val="24"/>
                <w:lang w:val="fr-FR"/>
              </w:rPr>
              <w:t>lors de l'utilisation, quotidiennement</w:t>
            </w:r>
            <w:r w:rsidRPr="0051688C">
              <w:rPr>
                <w:vanish/>
                <w:szCs w:val="24"/>
                <w:lang w:val="fr-FR"/>
              </w:rPr>
              <w:t xml:space="preserve"> :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806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65E2480B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08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 xml:space="preserve">contrôle visuel : niveaux des liquides, fuites, </w:t>
            </w:r>
            <w:r w:rsidR="00CD78CB">
              <w:rPr>
                <w:sz w:val="20"/>
                <w:szCs w:val="24"/>
                <w:lang w:val="fr-FR"/>
              </w:rPr>
              <w:br/>
            </w:r>
            <w:r w:rsidRPr="0051688C">
              <w:rPr>
                <w:sz w:val="20"/>
                <w:szCs w:val="24"/>
                <w:lang w:val="fr-FR"/>
              </w:rPr>
              <w:t>dommages (pneus, ...)</w:t>
            </w:r>
          </w:p>
          <w:p w14:paraId="65E24809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contrôle de fonctionnement : commandes au sol, freins, équipement d'urgence, arrêt d'urgence, pédale homme-mort, ...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single" w:sz="18" w:space="0" w:color="auto"/>
            </w:tcBorders>
          </w:tcPr>
          <w:p w14:paraId="65E2480A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80E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80C" w14:textId="77777777" w:rsidR="00F859FC" w:rsidRPr="00CD78CB" w:rsidRDefault="00F859FC">
            <w:pPr>
              <w:numPr>
                <w:ilvl w:val="0"/>
                <w:numId w:val="40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BE"/>
              </w:rPr>
            </w:pPr>
            <w:r w:rsidRPr="00CD78CB">
              <w:rPr>
                <w:sz w:val="20"/>
                <w:szCs w:val="24"/>
                <w:lang w:val="fr-BE"/>
              </w:rPr>
              <w:t>inspections périodiques valides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80D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nl-BE"/>
              </w:rPr>
            </w:pPr>
          </w:p>
        </w:tc>
      </w:tr>
      <w:tr w:rsidR="00F859FC" w:rsidRPr="00CE3E86" w14:paraId="65E24812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0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conformément aux exigences légales locales (fréquence/instance</w:t>
            </w:r>
            <w:r w:rsidRPr="0051688C">
              <w:rPr>
                <w:vanish/>
                <w:szCs w:val="24"/>
                <w:lang w:val="fr-FR"/>
              </w:rPr>
              <w:t>)</w:t>
            </w:r>
            <w:r w:rsidR="004755F8">
              <w:rPr>
                <w:szCs w:val="24"/>
                <w:lang w:val="fr-FR"/>
              </w:rPr>
              <w:t>)</w:t>
            </w:r>
          </w:p>
          <w:p w14:paraId="65E2481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également des outils de levage avec nacelles et outils de levage qui sont utilisés comme engins élévateurs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811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15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5E24813" w14:textId="77777777" w:rsidR="00F859FC" w:rsidRPr="0051688C" w:rsidRDefault="00F859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81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65E24816" w14:textId="77777777" w:rsidR="0051688C" w:rsidRDefault="0051688C">
      <w:pPr>
        <w:rPr>
          <w:szCs w:val="24"/>
          <w:lang w:val="fr-FR"/>
        </w:rPr>
      </w:pPr>
    </w:p>
    <w:p w14:paraId="65E24817" w14:textId="77777777" w:rsidR="0051688C" w:rsidRPr="0051688C" w:rsidRDefault="0051688C">
      <w:pPr>
        <w:rPr>
          <w:szCs w:val="24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51688C" w14:paraId="65E24819" w14:textId="77777777">
        <w:tc>
          <w:tcPr>
            <w:tcW w:w="8446" w:type="dxa"/>
            <w:gridSpan w:val="2"/>
            <w:tcBorders>
              <w:top w:val="single" w:sz="18" w:space="0" w:color="auto"/>
              <w:bottom w:val="nil"/>
            </w:tcBorders>
          </w:tcPr>
          <w:p w14:paraId="65E24818" w14:textId="77777777" w:rsidR="00F859FC" w:rsidRPr="0051688C" w:rsidRDefault="004755F8" w:rsidP="00443DEE">
            <w:pPr>
              <w:tabs>
                <w:tab w:val="right" w:pos="8222"/>
              </w:tabs>
              <w:autoSpaceDE w:val="0"/>
              <w:autoSpaceDN w:val="0"/>
              <w:adjustRightInd w:val="0"/>
              <w:spacing w:before="60" w:after="120"/>
              <w:rPr>
                <w:szCs w:val="24"/>
                <w:lang w:val="fr-FR"/>
              </w:rPr>
            </w:pPr>
            <w:r w:rsidRPr="00D519B6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lastRenderedPageBreak/>
              <w:t xml:space="preserve">EN TOUTE CIRCONSTANCE </w:t>
            </w:r>
            <w:r w:rsidR="00F859FC" w:rsidRPr="00D519B6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>!!!</w:t>
            </w:r>
            <w:r w:rsidR="00443DEE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 xml:space="preserve"> </w:t>
            </w:r>
            <w:r w:rsidR="00443DEE">
              <w:rPr>
                <w:rFonts w:cs="Arial"/>
                <w:b/>
                <w:iCs/>
                <w:snapToGrid/>
                <w:color w:val="1F497D"/>
                <w:sz w:val="24"/>
                <w:szCs w:val="24"/>
                <w:lang w:val="nl-BE" w:eastAsia="en-GB"/>
              </w:rPr>
              <w:tab/>
            </w:r>
            <w:r w:rsidR="00443DEE" w:rsidRPr="00443DEE">
              <w:rPr>
                <w:rFonts w:cs="Arial"/>
                <w:b/>
                <w:iCs/>
                <w:snapToGrid/>
                <w:sz w:val="24"/>
                <w:szCs w:val="24"/>
                <w:lang w:val="nl-BE" w:eastAsia="en-GB"/>
              </w:rPr>
              <w:t>Vérifier</w:t>
            </w:r>
          </w:p>
        </w:tc>
      </w:tr>
      <w:tr w:rsidR="00F859FC" w:rsidRPr="00CE3E86" w14:paraId="65E2481C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1A" w14:textId="77777777" w:rsidR="00F859FC" w:rsidRPr="00443DEE" w:rsidRDefault="00F859FC" w:rsidP="0051688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SÉCURITÉ D’UTILISATION DES ENGINS ÉLEVATEURS*</w:t>
            </w: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81B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51688C" w14:paraId="65E2481F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81D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conduite en toute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81E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CD78CB" w:rsidRPr="00CE3E86" w14:paraId="65E24827" w14:textId="77777777" w:rsidTr="000207BF">
        <w:tc>
          <w:tcPr>
            <w:tcW w:w="8446" w:type="dxa"/>
            <w:gridSpan w:val="2"/>
            <w:tcBorders>
              <w:top w:val="nil"/>
              <w:bottom w:val="nil"/>
            </w:tcBorders>
          </w:tcPr>
          <w:p w14:paraId="65E24820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nl-BE"/>
              </w:rPr>
            </w:pPr>
            <w:r w:rsidRPr="0051688C">
              <w:rPr>
                <w:sz w:val="20"/>
                <w:szCs w:val="24"/>
                <w:lang w:val="fr-FR"/>
              </w:rPr>
              <w:t>s’aligner lentement</w:t>
            </w:r>
          </w:p>
          <w:p w14:paraId="65E24821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faire attention aux faibles passages, à la tuyauterie et aux câbles</w:t>
            </w:r>
          </w:p>
          <w:p w14:paraId="65E24822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faire attention aux fosses, aux trous et aux bosses</w:t>
            </w:r>
          </w:p>
          <w:p w14:paraId="65E24823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s’éloigner suffisamment de tous les obstacles</w:t>
            </w:r>
          </w:p>
          <w:p w14:paraId="65E24824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vérifier si d'autres personnes sont à une distance sécuritaire</w:t>
            </w:r>
          </w:p>
          <w:p w14:paraId="65E24825" w14:textId="77777777" w:rsidR="00CD78CB" w:rsidRPr="0051688C" w:rsidRDefault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regarder dans le sens de la marche lorsque l’engin élévateur se déplace</w:t>
            </w:r>
          </w:p>
          <w:p w14:paraId="65E24826" w14:textId="77777777" w:rsidR="00CD78CB" w:rsidRPr="0051688C" w:rsidRDefault="00CD78CB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monter et descendre des pentes : orienter la charger vers la pente</w:t>
            </w:r>
          </w:p>
        </w:tc>
      </w:tr>
      <w:tr w:rsidR="00F859FC" w:rsidRPr="00CE3E86" w14:paraId="65E2482A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828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utilisation sûre de la nacelle/plateforme de travail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829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35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2B" w14:textId="77777777" w:rsidR="00F859FC" w:rsidRPr="0051688C" w:rsidRDefault="00435AC1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3360" behindDoc="0" locked="0" layoutInCell="1" allowOverlap="1" wp14:anchorId="65E24877" wp14:editId="65E24878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54610</wp:posOffset>
                  </wp:positionV>
                  <wp:extent cx="1024255" cy="1533525"/>
                  <wp:effectExtent l="0" t="0" r="4445" b="9525"/>
                  <wp:wrapNone/>
                  <wp:docPr id="15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4255" cy="1533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sz w:val="20"/>
                <w:szCs w:val="24"/>
                <w:lang w:val="fr-FR"/>
              </w:rPr>
              <w:t>ne jamais surcharger</w:t>
            </w:r>
          </w:p>
          <w:p w14:paraId="65E2482C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rester toujours à l’horizontale</w:t>
            </w:r>
          </w:p>
          <w:p w14:paraId="65E2482D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toujours nettoyer le plancher de la nacelle</w:t>
            </w:r>
          </w:p>
          <w:p w14:paraId="65E2482E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laisser le personnel monter et descendre au sol</w:t>
            </w:r>
          </w:p>
          <w:p w14:paraId="65E2482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entrer et sortir seulement par la barrière désignée</w:t>
            </w:r>
          </w:p>
          <w:p w14:paraId="65E2483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vérifier si le personnel de la nacelle porte les équipements de protection individuelle et s’ils sont correctement portés</w:t>
            </w:r>
          </w:p>
          <w:p w14:paraId="65E2483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protéger les outils et les matériels contre les chutes</w:t>
            </w:r>
          </w:p>
          <w:p w14:paraId="65E24832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éviter les mouvements saccadés de la nacelle</w:t>
            </w:r>
            <w:r w:rsidRPr="00CD78CB">
              <w:rPr>
                <w:sz w:val="20"/>
                <w:szCs w:val="24"/>
                <w:lang w:val="fr-BE"/>
              </w:rPr>
              <w:t>, la commande doit être effectuée soigneusement</w:t>
            </w:r>
            <w:r w:rsidRPr="0051688C">
              <w:rPr>
                <w:sz w:val="20"/>
                <w:szCs w:val="24"/>
                <w:lang w:val="fr-FR"/>
              </w:rPr>
              <w:t xml:space="preserve"> et uniformément</w:t>
            </w:r>
          </w:p>
          <w:p w14:paraId="65E24833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éviter que les câbles électriques, les cordes, les tuyaux ne s'emmêlent lors de la montée et de la descente de la nacelle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834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51688C" w14:paraId="65E24838" w14:textId="77777777">
        <w:tc>
          <w:tcPr>
            <w:tcW w:w="8046" w:type="dxa"/>
            <w:tcBorders>
              <w:top w:val="nil"/>
              <w:bottom w:val="nil"/>
            </w:tcBorders>
          </w:tcPr>
          <w:p w14:paraId="65E24836" w14:textId="77777777" w:rsidR="00F859FC" w:rsidRPr="0051688C" w:rsidRDefault="00F859FC" w:rsidP="00443DEE">
            <w:pPr>
              <w:numPr>
                <w:ilvl w:val="0"/>
                <w:numId w:val="41"/>
              </w:numPr>
              <w:autoSpaceDE w:val="0"/>
              <w:autoSpaceDN w:val="0"/>
              <w:adjustRightInd w:val="0"/>
              <w:spacing w:before="120" w:after="12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gérer en toute sécurité</w:t>
            </w:r>
          </w:p>
        </w:tc>
        <w:tc>
          <w:tcPr>
            <w:tcW w:w="400" w:type="dxa"/>
            <w:tcBorders>
              <w:top w:val="single" w:sz="18" w:space="0" w:color="auto"/>
              <w:bottom w:val="single" w:sz="18" w:space="0" w:color="auto"/>
            </w:tcBorders>
          </w:tcPr>
          <w:p w14:paraId="65E24837" w14:textId="77777777" w:rsidR="00F859FC" w:rsidRPr="0051688C" w:rsidRDefault="00F859FC" w:rsidP="00443DEE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3D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39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mettre à l’arrêt l’engin élévateur si la nacelle est quittée</w:t>
            </w:r>
          </w:p>
          <w:p w14:paraId="65E2483A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se garer toujours à un endroit sûr</w:t>
            </w:r>
          </w:p>
          <w:p w14:paraId="65E2483B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en cas de défauts ou de dysfonctionnements, s’arrêter toujours immédiatement et aviser le contremaître/employeur</w:t>
            </w:r>
          </w:p>
        </w:tc>
        <w:tc>
          <w:tcPr>
            <w:tcW w:w="400" w:type="dxa"/>
            <w:tcBorders>
              <w:top w:val="single" w:sz="18" w:space="0" w:color="auto"/>
              <w:left w:val="nil"/>
              <w:bottom w:val="nil"/>
            </w:tcBorders>
          </w:tcPr>
          <w:p w14:paraId="65E2483C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40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3E" w14:textId="77777777" w:rsidR="00F859FC" w:rsidRPr="0051688C" w:rsidRDefault="00F859FC">
            <w:pPr>
              <w:autoSpaceDE w:val="0"/>
              <w:autoSpaceDN w:val="0"/>
              <w:adjustRightInd w:val="0"/>
              <w:ind w:left="1080" w:hanging="36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5E2483F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43" w14:textId="77777777">
        <w:tc>
          <w:tcPr>
            <w:tcW w:w="8046" w:type="dxa"/>
            <w:tcBorders>
              <w:top w:val="nil"/>
              <w:bottom w:val="nil"/>
              <w:right w:val="nil"/>
            </w:tcBorders>
          </w:tcPr>
          <w:p w14:paraId="65E24841" w14:textId="77777777" w:rsidR="00F859FC" w:rsidRPr="0051688C" w:rsidRDefault="00F859FC" w:rsidP="00CE3E86">
            <w:pPr>
              <w:autoSpaceDE w:val="0"/>
              <w:autoSpaceDN w:val="0"/>
              <w:adjustRightInd w:val="0"/>
              <w:ind w:left="426"/>
              <w:rPr>
                <w:szCs w:val="24"/>
                <w:lang w:val="fr-FR"/>
              </w:rPr>
            </w:pPr>
            <w:r w:rsidRPr="0051688C">
              <w:rPr>
                <w:b/>
                <w:sz w:val="20"/>
                <w:szCs w:val="24"/>
                <w:lang w:val="fr-FR"/>
              </w:rPr>
              <w:t>*REMARQUE :</w:t>
            </w:r>
            <w:r w:rsidRPr="0051688C">
              <w:rPr>
                <w:sz w:val="20"/>
                <w:szCs w:val="24"/>
                <w:lang w:val="fr-FR"/>
              </w:rPr>
              <w:t xml:space="preserve"> pour les nacelles sur élévateurs, voir « </w:t>
            </w:r>
            <w:r w:rsidR="00CE3E86">
              <w:rPr>
                <w:sz w:val="20"/>
                <w:szCs w:val="24"/>
                <w:lang w:val="fr-FR"/>
              </w:rPr>
              <w:t>Hoisting</w:t>
            </w:r>
            <w:r w:rsidRPr="0051688C">
              <w:rPr>
                <w:sz w:val="20"/>
                <w:szCs w:val="24"/>
                <w:lang w:val="fr-FR"/>
              </w:rPr>
              <w:t xml:space="preserve"> et </w:t>
            </w:r>
            <w:r w:rsidR="00CE3E86">
              <w:rPr>
                <w:sz w:val="20"/>
                <w:szCs w:val="24"/>
                <w:lang w:val="fr-FR"/>
              </w:rPr>
              <w:t>Lifting</w:t>
            </w:r>
            <w:r w:rsidRPr="0051688C">
              <w:rPr>
                <w:sz w:val="20"/>
                <w:szCs w:val="24"/>
                <w:lang w:val="fr-FR"/>
              </w:rPr>
              <w:t> »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</w:tcBorders>
          </w:tcPr>
          <w:p w14:paraId="65E24842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46" w14:textId="77777777">
        <w:tc>
          <w:tcPr>
            <w:tcW w:w="8046" w:type="dxa"/>
            <w:tcBorders>
              <w:top w:val="nil"/>
              <w:bottom w:val="single" w:sz="18" w:space="0" w:color="auto"/>
              <w:right w:val="nil"/>
            </w:tcBorders>
          </w:tcPr>
          <w:p w14:paraId="65E24844" w14:textId="77777777" w:rsidR="00F859FC" w:rsidRPr="0051688C" w:rsidRDefault="00F859FC">
            <w:pPr>
              <w:tabs>
                <w:tab w:val="left" w:pos="945"/>
              </w:tabs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18" w:space="0" w:color="auto"/>
            </w:tcBorders>
          </w:tcPr>
          <w:p w14:paraId="65E24845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</w:p>
        </w:tc>
      </w:tr>
    </w:tbl>
    <w:p w14:paraId="65E24847" w14:textId="77777777" w:rsidR="00F859FC" w:rsidRPr="0051688C" w:rsidRDefault="00F859FC">
      <w:pPr>
        <w:rPr>
          <w:sz w:val="16"/>
          <w:szCs w:val="24"/>
          <w:lang w:val="fr-FR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V w:val="single" w:sz="18" w:space="0" w:color="auto"/>
        </w:tblBorders>
        <w:tblLayout w:type="fixed"/>
        <w:tblLook w:val="00A0" w:firstRow="1" w:lastRow="0" w:firstColumn="1" w:lastColumn="0" w:noHBand="0" w:noVBand="0"/>
      </w:tblPr>
      <w:tblGrid>
        <w:gridCol w:w="8046"/>
        <w:gridCol w:w="400"/>
      </w:tblGrid>
      <w:tr w:rsidR="00F859FC" w:rsidRPr="0051688C" w14:paraId="65E2484A" w14:textId="77777777">
        <w:tc>
          <w:tcPr>
            <w:tcW w:w="8446" w:type="dxa"/>
            <w:gridSpan w:val="2"/>
            <w:tcBorders>
              <w:top w:val="single" w:sz="18" w:space="0" w:color="FF0000"/>
              <w:left w:val="single" w:sz="18" w:space="0" w:color="FF0000"/>
              <w:bottom w:val="nil"/>
              <w:right w:val="single" w:sz="18" w:space="0" w:color="FF0000"/>
            </w:tcBorders>
          </w:tcPr>
          <w:p w14:paraId="65E24848" w14:textId="77777777" w:rsidR="00F859FC" w:rsidRPr="0051688C" w:rsidRDefault="00F859FC">
            <w:pPr>
              <w:autoSpaceDE w:val="0"/>
              <w:autoSpaceDN w:val="0"/>
              <w:adjustRightInd w:val="0"/>
              <w:spacing w:before="240"/>
              <w:rPr>
                <w:b/>
                <w:color w:val="FF0000"/>
                <w:szCs w:val="24"/>
                <w:lang w:val="fr-FR"/>
              </w:rPr>
            </w:pPr>
            <w:r w:rsidRPr="0051688C">
              <w:rPr>
                <w:b/>
                <w:sz w:val="24"/>
                <w:szCs w:val="24"/>
                <w:lang w:val="fr-FR"/>
              </w:rPr>
              <w:t>CE QUI EST INTERDIT AVEC LES ENGINS ÉLEVATEURS ?</w:t>
            </w:r>
          </w:p>
          <w:p w14:paraId="65E24849" w14:textId="77777777" w:rsidR="00F859FC" w:rsidRPr="0051688C" w:rsidRDefault="00435AC1">
            <w:pPr>
              <w:autoSpaceDE w:val="0"/>
              <w:autoSpaceDN w:val="0"/>
              <w:adjustRightInd w:val="0"/>
              <w:spacing w:before="60"/>
              <w:jc w:val="right"/>
              <w:rPr>
                <w:szCs w:val="24"/>
              </w:rPr>
            </w:pPr>
            <w:r>
              <w:rPr>
                <w:noProof/>
                <w:snapToGrid/>
                <w:lang w:eastAsia="en-GB"/>
              </w:rPr>
              <w:drawing>
                <wp:anchor distT="0" distB="0" distL="114300" distR="114300" simplePos="0" relativeHeight="251664384" behindDoc="0" locked="0" layoutInCell="1" allowOverlap="1" wp14:anchorId="65E24879" wp14:editId="65E2487A">
                  <wp:simplePos x="0" y="0"/>
                  <wp:positionH relativeFrom="column">
                    <wp:posOffset>4156710</wp:posOffset>
                  </wp:positionH>
                  <wp:positionV relativeFrom="paragraph">
                    <wp:posOffset>20955</wp:posOffset>
                  </wp:positionV>
                  <wp:extent cx="424815" cy="424815"/>
                  <wp:effectExtent l="0" t="0" r="0" b="0"/>
                  <wp:wrapNone/>
                  <wp:docPr id="16" name="Picture 5" descr="MC900054583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MC900054583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4815" cy="424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859FC" w:rsidRPr="0051688C">
              <w:rPr>
                <w:b/>
                <w:sz w:val="20"/>
                <w:szCs w:val="24"/>
                <w:lang w:val="fr-FR"/>
              </w:rPr>
              <w:t>VÉRIFIER</w:t>
            </w:r>
          </w:p>
        </w:tc>
      </w:tr>
      <w:tr w:rsidR="00F859FC" w:rsidRPr="00CE3E86" w14:paraId="65E2484D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5E2484B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DANS LA NACELLE, NE JAMAIS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5E2484C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853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65E2484E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se tenir debout ou assis sur les rampes</w:t>
            </w:r>
          </w:p>
          <w:p w14:paraId="65E2484F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monter sur des échelles, des boîtes ou autres objets dans la nacelle et ne pas appliquer ceux-ci aux lieux de travail pour se surélever</w:t>
            </w:r>
          </w:p>
          <w:p w14:paraId="65E24850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détacher la protection de chute pendant les travaux en hauteur</w:t>
            </w:r>
          </w:p>
          <w:p w14:paraId="65E24851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atteindre ou descendre du bord pendant les travaux en hauteur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65E24852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  <w:tr w:rsidR="00F859FC" w:rsidRPr="00CE3E86" w14:paraId="65E24856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65E24854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16"/>
                <w:szCs w:val="24"/>
                <w:lang w:val="fr-FR"/>
              </w:rPr>
            </w:pPr>
          </w:p>
        </w:tc>
        <w:tc>
          <w:tcPr>
            <w:tcW w:w="400" w:type="dxa"/>
          </w:tcPr>
          <w:p w14:paraId="65E24855" w14:textId="77777777" w:rsidR="00F859FC" w:rsidRPr="0051688C" w:rsidRDefault="00F859FC">
            <w:pPr>
              <w:autoSpaceDE w:val="0"/>
              <w:autoSpaceDN w:val="0"/>
              <w:adjustRightInd w:val="0"/>
              <w:rPr>
                <w:sz w:val="16"/>
                <w:szCs w:val="24"/>
                <w:lang w:val="fr-FR"/>
              </w:rPr>
            </w:pPr>
          </w:p>
        </w:tc>
      </w:tr>
      <w:tr w:rsidR="00F859FC" w:rsidRPr="00CE3E86" w14:paraId="65E24859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  <w:tcBorders>
              <w:right w:val="single" w:sz="18" w:space="0" w:color="FF0000"/>
            </w:tcBorders>
          </w:tcPr>
          <w:p w14:paraId="65E24857" w14:textId="77777777" w:rsidR="00F859FC" w:rsidRPr="00443DEE" w:rsidRDefault="00F859FC">
            <w:pPr>
              <w:numPr>
                <w:ilvl w:val="0"/>
                <w:numId w:val="22"/>
              </w:numPr>
              <w:autoSpaceDE w:val="0"/>
              <w:autoSpaceDN w:val="0"/>
              <w:adjustRightInd w:val="0"/>
              <w:spacing w:before="120" w:after="60"/>
              <w:ind w:left="714" w:hanging="357"/>
              <w:rPr>
                <w:b/>
                <w:szCs w:val="24"/>
                <w:lang w:val="fr-FR"/>
              </w:rPr>
            </w:pPr>
            <w:r w:rsidRPr="00443DEE">
              <w:rPr>
                <w:b/>
                <w:sz w:val="20"/>
                <w:szCs w:val="24"/>
                <w:lang w:val="fr-FR"/>
              </w:rPr>
              <w:t>AVEC DES ENGINS ÉLEVATEURS, IL NE FAUT JAMAIS </w:t>
            </w:r>
          </w:p>
        </w:tc>
        <w:tc>
          <w:tcPr>
            <w:tcW w:w="400" w:type="dxa"/>
            <w:tcBorders>
              <w:top w:val="single" w:sz="18" w:space="0" w:color="FF0000"/>
              <w:left w:val="single" w:sz="18" w:space="0" w:color="FF0000"/>
              <w:bottom w:val="single" w:sz="18" w:space="0" w:color="FF0000"/>
            </w:tcBorders>
          </w:tcPr>
          <w:p w14:paraId="65E24858" w14:textId="77777777" w:rsidR="00F859FC" w:rsidRPr="00443DEE" w:rsidRDefault="00F859FC">
            <w:pPr>
              <w:autoSpaceDE w:val="0"/>
              <w:autoSpaceDN w:val="0"/>
              <w:adjustRightInd w:val="0"/>
              <w:rPr>
                <w:b/>
                <w:sz w:val="20"/>
                <w:szCs w:val="24"/>
                <w:lang w:val="fr-FR"/>
              </w:rPr>
            </w:pPr>
          </w:p>
        </w:tc>
      </w:tr>
      <w:tr w:rsidR="00F859FC" w:rsidRPr="00CE3E86" w14:paraId="65E2485D" w14:textId="77777777">
        <w:tblPrEx>
          <w:tblBorders>
            <w:top w:val="single" w:sz="18" w:space="0" w:color="FF0000"/>
            <w:left w:val="single" w:sz="18" w:space="0" w:color="FF0000"/>
            <w:bottom w:val="single" w:sz="18" w:space="0" w:color="FF0000"/>
            <w:right w:val="single" w:sz="18" w:space="0" w:color="FF0000"/>
            <w:insideV w:val="none" w:sz="0" w:space="0" w:color="auto"/>
          </w:tblBorders>
        </w:tblPrEx>
        <w:tc>
          <w:tcPr>
            <w:tcW w:w="8046" w:type="dxa"/>
          </w:tcPr>
          <w:p w14:paraId="65E2485A" w14:textId="77777777" w:rsidR="00F859FC" w:rsidRPr="0051688C" w:rsidRDefault="00F859FC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ind w:left="2154" w:hanging="357"/>
              <w:rPr>
                <w:sz w:val="20"/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se déplacer avec la plate-forme ou la nacelle surélevée</w:t>
            </w:r>
          </w:p>
          <w:p w14:paraId="65E2485B" w14:textId="77777777" w:rsidR="00F859FC" w:rsidRPr="0051688C" w:rsidRDefault="00F859FC" w:rsidP="00CD78CB">
            <w:pPr>
              <w:numPr>
                <w:ilvl w:val="2"/>
                <w:numId w:val="14"/>
              </w:numPr>
              <w:autoSpaceDE w:val="0"/>
              <w:autoSpaceDN w:val="0"/>
              <w:adjustRightInd w:val="0"/>
              <w:spacing w:after="60"/>
              <w:ind w:left="2154" w:hanging="357"/>
              <w:rPr>
                <w:szCs w:val="24"/>
                <w:lang w:val="fr-FR"/>
              </w:rPr>
            </w:pPr>
            <w:r w:rsidRPr="0051688C">
              <w:rPr>
                <w:sz w:val="20"/>
                <w:szCs w:val="24"/>
                <w:lang w:val="fr-FR"/>
              </w:rPr>
              <w:t>utiliser l’engin pour hisser ou soulever</w:t>
            </w:r>
          </w:p>
        </w:tc>
        <w:tc>
          <w:tcPr>
            <w:tcW w:w="400" w:type="dxa"/>
            <w:tcBorders>
              <w:top w:val="single" w:sz="18" w:space="0" w:color="FF0000"/>
            </w:tcBorders>
          </w:tcPr>
          <w:p w14:paraId="65E2485C" w14:textId="77777777" w:rsidR="00F859FC" w:rsidRPr="0051688C" w:rsidRDefault="00F859FC">
            <w:pPr>
              <w:autoSpaceDE w:val="0"/>
              <w:autoSpaceDN w:val="0"/>
              <w:adjustRightInd w:val="0"/>
              <w:spacing w:before="120" w:after="120"/>
              <w:rPr>
                <w:sz w:val="20"/>
                <w:szCs w:val="24"/>
                <w:lang w:val="fr-FR"/>
              </w:rPr>
            </w:pPr>
          </w:p>
        </w:tc>
      </w:tr>
    </w:tbl>
    <w:p w14:paraId="65E2485E" w14:textId="77777777" w:rsidR="00F859FC" w:rsidRPr="0051688C" w:rsidRDefault="00F859FC">
      <w:pPr>
        <w:autoSpaceDE w:val="0"/>
        <w:autoSpaceDN w:val="0"/>
        <w:adjustRightInd w:val="0"/>
        <w:rPr>
          <w:sz w:val="16"/>
          <w:szCs w:val="24"/>
          <w:lang w:val="fr-FR"/>
        </w:rPr>
      </w:pPr>
    </w:p>
    <w:p w14:paraId="65E2485F" w14:textId="77777777" w:rsidR="007828D3" w:rsidRDefault="00932EEE">
      <w:pPr>
        <w:rPr>
          <w:rFonts w:cs="Arial"/>
          <w:lang w:val="en-US" w:eastAsia="en-US"/>
        </w:rPr>
      </w:pPr>
      <w:r>
        <w:rPr>
          <w:rFonts w:cs="Arial"/>
          <w:lang w:val="en-US" w:eastAsia="en-US"/>
        </w:rPr>
        <w:lastRenderedPageBreak/>
        <w:br w:type="page"/>
      </w:r>
    </w:p>
    <w:p w14:paraId="65E24860" w14:textId="77777777" w:rsidR="00AF2BCB" w:rsidRDefault="00932EEE" w:rsidP="00397FD7">
      <w:pPr>
        <w:jc w:val="center"/>
        <w:rPr>
          <w:rFonts w:cs="Arial"/>
          <w:lang w:val="en-US" w:eastAsia="en-US"/>
        </w:rPr>
      </w:pPr>
      <w:r>
        <w:rPr>
          <w:b/>
          <w:bCs/>
          <w:noProof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E2487B" wp14:editId="65E2487C">
                <wp:simplePos x="0" y="0"/>
                <wp:positionH relativeFrom="column">
                  <wp:posOffset>410845</wp:posOffset>
                </wp:positionH>
                <wp:positionV relativeFrom="paragraph">
                  <wp:posOffset>87630</wp:posOffset>
                </wp:positionV>
                <wp:extent cx="5187315" cy="552450"/>
                <wp:effectExtent l="0" t="0" r="13335" b="1905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24885" w14:textId="77777777" w:rsidR="00AF2BCB" w:rsidRPr="006F24BC" w:rsidRDefault="00932EEE" w:rsidP="00AF2BCB">
                            <w:pPr>
                              <w:spacing w:before="1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/>
                                <w:bCs/>
                                <w:noProof/>
                                <w:sz w:val="28"/>
                                <w:szCs w:val="28"/>
                              </w:rPr>
                              <w:t>Kuwait Petroleum North West Europe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2487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.35pt;margin-top:6.9pt;width:408.4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">
                <v:textbox>
                  <w:txbxContent>
                    <w:p w14:paraId="65E24885" w14:textId="77777777" w:rsidR="00AF2BCB" w:rsidRPr="006F24BC" w:rsidRDefault="00932EEE" w:rsidP="00AF2BCB">
                      <w:pPr>
                        <w:spacing w:before="160"/>
                        <w:jc w:val="center"/>
                        <w:rPr>
                          <w:rFonts w:ascii="Calibri" w:hAnsi="Calibri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 w:cs="Arial"/>
                          <w:b/>
                          <w:bCs/>
                          <w:noProof/>
                          <w:sz w:val="28"/>
                          <w:szCs w:val="28"/>
                        </w:rPr>
                        <w:t>Kuwait Petroleum North West Europe</w:t>
                      </w:r>
                    </w:p>
                  </w:txbxContent>
                </v:textbox>
              </v:shape>
            </w:pict>
          </mc:Fallback>
        </mc:AlternateContent>
      </w:r>
    </w:p>
    <w:p w14:paraId="65E24861" w14:textId="77777777" w:rsidR="00AF2BCB" w:rsidRDefault="00932EEE" w:rsidP="00397FD7">
      <w:pPr>
        <w:jc w:val="center"/>
        <w:rPr>
          <w:rFonts w:cs="Arial"/>
          <w:lang w:val="en-US" w:eastAsia="en-US"/>
        </w:rPr>
      </w:pPr>
    </w:p>
    <w:p w14:paraId="65E24862" w14:textId="77777777" w:rsidR="00AF2BCB" w:rsidRDefault="00932EEE" w:rsidP="00397FD7">
      <w:pPr>
        <w:jc w:val="center"/>
        <w:rPr>
          <w:rFonts w:cs="Arial"/>
          <w:lang w:val="en-US" w:eastAsia="en-US"/>
        </w:rPr>
      </w:pPr>
    </w:p>
    <w:p w14:paraId="65E24863" w14:textId="77777777" w:rsidR="00AF2BCB" w:rsidRDefault="00932EEE" w:rsidP="00397FD7">
      <w:pPr>
        <w:jc w:val="center"/>
        <w:rPr>
          <w:rFonts w:cs="Arial"/>
          <w:lang w:val="en-US" w:eastAsia="en-US"/>
        </w:rPr>
      </w:pPr>
    </w:p>
    <w:p w14:paraId="65E24864" w14:textId="77777777" w:rsidR="00AF2BCB" w:rsidRPr="00397FD7" w:rsidRDefault="00932EEE" w:rsidP="00397FD7">
      <w:pPr>
        <w:jc w:val="center"/>
        <w:rPr>
          <w:rFonts w:cs="Arial"/>
          <w:lang w:val="en-US" w:eastAsia="en-US"/>
        </w:rPr>
      </w:pPr>
    </w:p>
    <w:p w14:paraId="65E24865" w14:textId="77777777" w:rsidR="00767A51" w:rsidRPr="00A75BEC" w:rsidRDefault="00932EEE" w:rsidP="00767A51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TITLE</w:t>
      </w:r>
      <w:r w:rsidRPr="00546671">
        <w:rPr>
          <w:rFonts w:ascii="Calibri" w:hAnsi="Calibri" w:cs="Arial"/>
          <w:lang w:val="es-ES" w:eastAsia="en-US"/>
        </w:rPr>
        <w:t>:</w:t>
      </w:r>
      <w:r w:rsidRPr="00546671">
        <w:rPr>
          <w:rFonts w:ascii="Calibri" w:hAnsi="Calibri" w:cs="Arial"/>
          <w:lang w:val="es-ES" w:eastAsia="en-US"/>
        </w:rPr>
        <w:tab/>
      </w:r>
      <w:r w:rsidRPr="00821623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TSR - Travail en Hauteur - Engins Elevateurs</w:t>
      </w:r>
    </w:p>
    <w:p w14:paraId="65E24866" w14:textId="77777777" w:rsidR="00397FD7" w:rsidRPr="00A75BEC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5E24867" w14:textId="77777777" w:rsidR="00397FD7" w:rsidRPr="00A75BEC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  <w:r>
        <w:rPr>
          <w:rFonts w:ascii="Calibri" w:hAnsi="Calibri" w:cs="Arial"/>
          <w:lang w:val="es-ES" w:eastAsia="en-US"/>
        </w:rPr>
        <w:t>DOCUMENT NUMBER</w:t>
      </w:r>
      <w:r w:rsidRPr="00A75BEC">
        <w:rPr>
          <w:rFonts w:ascii="Calibri" w:hAnsi="Calibri" w:cs="Arial"/>
          <w:lang w:val="es-ES" w:eastAsia="en-US"/>
        </w:rPr>
        <w:t>:</w:t>
      </w:r>
      <w:r w:rsidRPr="00A75BEC">
        <w:rPr>
          <w:rFonts w:ascii="Calibri" w:hAnsi="Calibri" w:cs="Arial"/>
          <w:lang w:val="es-E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KPNWE.WI.11.HSCO.053</w:t>
      </w:r>
    </w:p>
    <w:p w14:paraId="65E24868" w14:textId="77777777" w:rsidR="00397FD7" w:rsidRPr="00546671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s-ES" w:eastAsia="en-US"/>
        </w:rPr>
      </w:pPr>
    </w:p>
    <w:p w14:paraId="65E24869" w14:textId="77777777" w:rsidR="00397FD7" w:rsidRPr="004A4248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>
        <w:rPr>
          <w:rFonts w:ascii="Calibri" w:hAnsi="Calibri" w:cs="Arial"/>
          <w:lang w:val="en-US" w:eastAsia="en-US"/>
        </w:rPr>
        <w:t>REVIEW NUMBER</w:t>
      </w:r>
      <w:r w:rsidRPr="004A4248">
        <w:rPr>
          <w:rFonts w:ascii="Calibri" w:hAnsi="Calibri" w:cs="Arial"/>
          <w:lang w:val="en-US" w:eastAsia="en-US"/>
        </w:rPr>
        <w:t xml:space="preserve">: </w:t>
      </w:r>
      <w:r w:rsidRPr="004A4248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</w:t>
      </w:r>
    </w:p>
    <w:p w14:paraId="65E2486A" w14:textId="77777777" w:rsidR="00397FD7" w:rsidRPr="004A4248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5E2486B" w14:textId="77777777" w:rsidR="00397FD7" w:rsidRPr="0075499A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EFFECTIVE DATE</w:t>
      </w:r>
      <w:r w:rsidRPr="0075499A">
        <w:rPr>
          <w:rFonts w:ascii="Calibri" w:hAnsi="Calibri" w:cs="Arial"/>
          <w:lang w:val="en-US" w:eastAsia="en-US"/>
        </w:rPr>
        <w:t xml:space="preserve">:    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2017</w:t>
      </w:r>
    </w:p>
    <w:p w14:paraId="65E2486C" w14:textId="77777777" w:rsidR="00397FD7" w:rsidRPr="0075499A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</w:p>
    <w:p w14:paraId="65E2486D" w14:textId="77777777" w:rsidR="00397FD7" w:rsidRPr="0075499A" w:rsidRDefault="00932EEE" w:rsidP="00397FD7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ind w:left="3200" w:hanging="3200"/>
        <w:rPr>
          <w:rFonts w:ascii="Calibri" w:hAnsi="Calibri" w:cs="Arial"/>
          <w:lang w:val="en-US" w:eastAsia="en-US"/>
        </w:rPr>
      </w:pPr>
      <w:r w:rsidRPr="0075499A">
        <w:rPr>
          <w:rFonts w:ascii="Calibri" w:hAnsi="Calibri" w:cs="Arial"/>
          <w:lang w:val="en-US" w:eastAsia="en-US"/>
        </w:rPr>
        <w:t>NEXT REVIEW DATE</w:t>
      </w:r>
      <w:r w:rsidRPr="0075499A">
        <w:rPr>
          <w:rFonts w:ascii="Calibri" w:hAnsi="Calibri" w:cs="Arial"/>
          <w:lang w:val="en-US" w:eastAsia="en-US"/>
        </w:rPr>
        <w:t>:</w:t>
      </w:r>
      <w:r w:rsidRPr="0075499A">
        <w:rPr>
          <w:rFonts w:ascii="Calibri" w:hAnsi="Calibri" w:cs="Arial"/>
          <w:lang w:val="en-US" w:eastAsia="en-US"/>
        </w:rPr>
        <w:tab/>
      </w:r>
      <w:r w:rsidRPr="0075499A">
        <w:rPr>
          <w:rFonts w:ascii="Courier New" w:hAnsi="Courier New" w:cs="Courier New"/>
          <w:noProof/>
          <w:sz w:val="20"/>
          <w:szCs w:val="20"/>
          <w:highlight w:val="lightGray"/>
          <w:lang w:val="en-US"/>
        </w:rPr>
        <w:t>01 Dec 2020</w:t>
      </w:r>
      <w:r w:rsidRPr="0075499A">
        <w:rPr>
          <w:rFonts w:ascii="Courier New" w:hAnsi="Courier New" w:cs="Courier New"/>
          <w:noProof/>
          <w:sz w:val="20"/>
          <w:szCs w:val="20"/>
          <w:lang w:val="en-US"/>
        </w:rPr>
        <w:t xml:space="preserve"> </w:t>
      </w:r>
    </w:p>
    <w:p w14:paraId="65E2486E" w14:textId="77777777" w:rsidR="00397FD7" w:rsidRPr="00AF2BCB" w:rsidRDefault="00932EE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  <w:r w:rsidRPr="00AF2BCB">
        <w:rPr>
          <w:rFonts w:ascii="Calibri" w:hAnsi="Calibri" w:cs="Arial"/>
          <w:lang w:val="en-US" w:eastAsia="en-US"/>
        </w:rPr>
        <w:t>..</w:t>
      </w:r>
      <w:r w:rsidRPr="00AF2BCB">
        <w:rPr>
          <w:rFonts w:ascii="Calibri" w:hAnsi="Calibri" w:cs="Arial"/>
          <w:b/>
          <w:bCs/>
          <w:lang w:val="en-US" w:eastAsia="en-US"/>
        </w:rPr>
        <w:t xml:space="preserve"> </w:t>
      </w:r>
    </w:p>
    <w:p w14:paraId="65E2486F" w14:textId="77777777" w:rsidR="00397FD7" w:rsidRPr="00AF2BCB" w:rsidRDefault="00932EEE" w:rsidP="00397FD7">
      <w:pPr>
        <w:jc w:val="center"/>
        <w:rPr>
          <w:rFonts w:ascii="Calibri" w:hAnsi="Calibri" w:cs="Arial"/>
          <w:b/>
          <w:bCs/>
          <w:lang w:val="en-US" w:eastAsia="en-US"/>
        </w:rPr>
      </w:pPr>
    </w:p>
    <w:p w14:paraId="65E24870" w14:textId="77777777" w:rsidR="0074156E" w:rsidRPr="00DB0FAC" w:rsidRDefault="00932EE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center"/>
        <w:rPr>
          <w:rFonts w:ascii="Calibri" w:hAnsi="Calibri" w:cs="Arial"/>
          <w:b/>
          <w:lang w:val="en-US" w:eastAsia="en-US"/>
        </w:rPr>
      </w:pPr>
      <w:r w:rsidRPr="00DB0FAC">
        <w:rPr>
          <w:rFonts w:ascii="Calibri" w:hAnsi="Calibri" w:cs="Arial"/>
          <w:b/>
          <w:lang w:val="en-US" w:eastAsia="en-US"/>
        </w:rPr>
        <w:t>CONFIDENTIALITY:</w:t>
      </w:r>
    </w:p>
    <w:p w14:paraId="65E24871" w14:textId="77777777" w:rsidR="0074156E" w:rsidRPr="00DB0FAC" w:rsidRDefault="00932EEE" w:rsidP="0074156E">
      <w:pPr>
        <w:pBdr>
          <w:top w:val="single" w:sz="4" w:space="6" w:color="auto"/>
          <w:left w:val="single" w:sz="4" w:space="4" w:color="auto"/>
          <w:bottom w:val="single" w:sz="4" w:space="6" w:color="auto"/>
          <w:right w:val="single" w:sz="4" w:space="4" w:color="auto"/>
        </w:pBdr>
        <w:jc w:val="both"/>
        <w:rPr>
          <w:rFonts w:ascii="Calibri" w:hAnsi="Calibri" w:cs="Arial"/>
          <w:lang w:val="en-US" w:eastAsia="en-US"/>
        </w:rPr>
      </w:pPr>
      <w:r w:rsidRPr="00DB0FAC">
        <w:rPr>
          <w:rFonts w:ascii="Calibri" w:hAnsi="Calibri" w:cs="Arial"/>
          <w:lang w:val="en-US" w:eastAsia="en-US"/>
        </w:rPr>
        <w:t>The information contained in this document is confidential to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>Copyright © Kuwait Petroleum International Ltd.</w:t>
      </w:r>
      <w:r>
        <w:rPr>
          <w:rFonts w:ascii="Calibri" w:hAnsi="Calibri" w:cs="Arial"/>
          <w:lang w:val="en-US" w:eastAsia="en-US"/>
        </w:rPr>
        <w:t xml:space="preserve"> </w:t>
      </w:r>
      <w:r w:rsidRPr="00DB0FAC">
        <w:rPr>
          <w:rFonts w:ascii="Calibri" w:hAnsi="Calibri" w:cs="Arial"/>
          <w:lang w:val="en-US" w:eastAsia="en-US"/>
        </w:rPr>
        <w:t xml:space="preserve"> Copying of this document in any format is not permitted without written permission from the management of Kuwait Petroleum International Ltd.</w:t>
      </w:r>
    </w:p>
    <w:p w14:paraId="65E24872" w14:textId="77777777" w:rsidR="00397FD7" w:rsidRPr="00546671" w:rsidRDefault="00932EEE" w:rsidP="00397FD7">
      <w:pPr>
        <w:rPr>
          <w:rFonts w:ascii="Calibri" w:hAnsi="Calibri" w:cs="Arial"/>
          <w:b/>
          <w:bCs/>
          <w:color w:val="003366"/>
          <w:lang w:val="es-ES" w:eastAsia="en-US"/>
        </w:rPr>
      </w:pPr>
    </w:p>
    <w:p w14:paraId="65E24873" w14:textId="77777777" w:rsidR="00397FD7" w:rsidRPr="004A6E34" w:rsidRDefault="00932EEE" w:rsidP="00397FD7">
      <w:pPr>
        <w:rPr>
          <w:rFonts w:ascii="Calibri" w:hAnsi="Calibri" w:cs="Arial"/>
          <w:b/>
          <w:bCs/>
          <w:lang w:val="en-US" w:eastAsia="en-US"/>
        </w:rPr>
      </w:pPr>
      <w:r w:rsidRPr="004A6E34">
        <w:rPr>
          <w:rFonts w:ascii="Calibri" w:hAnsi="Calibri" w:cs="Arial"/>
          <w:b/>
          <w:bCs/>
          <w:lang w:val="en-US" w:eastAsia="en-US"/>
        </w:rPr>
        <w:t xml:space="preserve">This document is reviewed and approved </w:t>
      </w:r>
      <w:r>
        <w:rPr>
          <w:rFonts w:ascii="Calibri" w:hAnsi="Calibri" w:cs="Arial"/>
          <w:b/>
          <w:bCs/>
          <w:lang w:val="en-US" w:eastAsia="en-US"/>
        </w:rPr>
        <w:t xml:space="preserve">according to the released online Document Approval Flow </w:t>
      </w:r>
    </w:p>
    <w:p w14:paraId="65E24874" w14:textId="77777777" w:rsidR="00397FD7" w:rsidRPr="004A6E34" w:rsidRDefault="00932EEE" w:rsidP="00397FD7">
      <w:pPr>
        <w:rPr>
          <w:rFonts w:ascii="Calibri" w:hAnsi="Calibri" w:cs="Arial"/>
          <w:lang w:val="en-US" w:eastAsia="en-US"/>
        </w:rPr>
      </w:pPr>
    </w:p>
    <w:p w14:paraId="65E24875" w14:textId="77777777" w:rsidR="00397FD7" w:rsidRPr="004A6E34" w:rsidRDefault="00932EEE" w:rsidP="00397FD7">
      <w:pPr>
        <w:rPr>
          <w:rFonts w:ascii="Calibri" w:hAnsi="Calibri" w:cs="Arial"/>
          <w:color w:val="003366"/>
          <w:lang w:val="en-US" w:eastAsia="en-US"/>
        </w:rPr>
      </w:pPr>
    </w:p>
    <w:tbl>
      <w:tblPr>
        <w:tblW w:w="11112" w:type="dxa"/>
        <w:tblLook w:val="01E0" w:firstRow="1" w:lastRow="1" w:firstColumn="1" w:lastColumn="1" w:noHBand="0" w:noVBand="0"/>
      </w:tblPr>
      <w:tblGrid>
        <w:gridCol w:w="2028"/>
        <w:gridCol w:w="3120"/>
        <w:gridCol w:w="5964"/>
      </w:tblGrid>
      <w:tr w:rsidR="0074156E" w:rsidRPr="00546671" w14:paraId="65E24879" w14:textId="77777777" w:rsidTr="009A78D1">
        <w:trPr>
          <w:trHeight w:val="567"/>
        </w:trPr>
        <w:tc>
          <w:tcPr>
            <w:tcW w:w="2028" w:type="dxa"/>
          </w:tcPr>
          <w:p w14:paraId="65E24876" w14:textId="77777777" w:rsidR="0074156E" w:rsidRPr="00546671" w:rsidRDefault="00932E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Prepared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5E24877" w14:textId="77777777" w:rsidR="0074156E" w:rsidRPr="00C2067C" w:rsidRDefault="00932EE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5E24878" w14:textId="77777777" w:rsidR="0074156E" w:rsidRPr="00C2067C" w:rsidRDefault="00932EEE" w:rsidP="00EC5FFA">
            <w:pPr>
              <w:jc w:val="both"/>
              <w:rPr>
                <w:rFonts w:ascii="Calibri" w:hAnsi="Calibri" w:cs="Arial"/>
                <w:b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5E2487D" w14:textId="77777777" w:rsidTr="009A78D1">
        <w:trPr>
          <w:trHeight w:val="567"/>
        </w:trPr>
        <w:tc>
          <w:tcPr>
            <w:tcW w:w="2028" w:type="dxa"/>
          </w:tcPr>
          <w:p w14:paraId="65E2487A" w14:textId="77777777" w:rsidR="0074156E" w:rsidRPr="00546671" w:rsidRDefault="00932E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Reviewed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5E2487B" w14:textId="77777777" w:rsidR="0074156E" w:rsidRPr="00C2067C" w:rsidRDefault="00932EEE" w:rsidP="0053002F">
            <w:pPr>
              <w:rPr>
                <w:rFonts w:ascii="Calibri" w:hAnsi="Calibri" w:cs="Arial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Operational Assistant</w:t>
            </w:r>
          </w:p>
        </w:tc>
        <w:tc>
          <w:tcPr>
            <w:tcW w:w="5964" w:type="dxa"/>
          </w:tcPr>
          <w:p w14:paraId="65E2487C" w14:textId="77777777" w:rsidR="0074156E" w:rsidRPr="00C2067C" w:rsidRDefault="00932EE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/>
              </w:rPr>
              <w:t>An Cornelis</w:t>
            </w:r>
          </w:p>
        </w:tc>
      </w:tr>
      <w:tr w:rsidR="0074156E" w:rsidRPr="00546671" w14:paraId="65E24881" w14:textId="77777777" w:rsidTr="009A78D1">
        <w:trPr>
          <w:trHeight w:val="567"/>
        </w:trPr>
        <w:tc>
          <w:tcPr>
            <w:tcW w:w="2028" w:type="dxa"/>
          </w:tcPr>
          <w:p w14:paraId="65E2487E" w14:textId="77777777" w:rsidR="0074156E" w:rsidRPr="00546671" w:rsidRDefault="00932EEE" w:rsidP="0053002F">
            <w:pPr>
              <w:rPr>
                <w:rFonts w:ascii="Calibri" w:hAnsi="Calibri" w:cs="Arial"/>
                <w:lang w:val="en-US" w:eastAsia="en-US"/>
              </w:rPr>
            </w:pPr>
            <w:r>
              <w:rPr>
                <w:rFonts w:ascii="Calibri" w:hAnsi="Calibri" w:cs="Arial"/>
                <w:lang w:val="en-US" w:eastAsia="en-US"/>
              </w:rPr>
              <w:t>Approved by</w:t>
            </w:r>
            <w:r w:rsidRPr="00546671">
              <w:rPr>
                <w:rFonts w:ascii="Calibri" w:hAnsi="Calibri" w:cs="Arial"/>
                <w:lang w:val="en-US" w:eastAsia="en-US"/>
              </w:rPr>
              <w:t>:</w:t>
            </w:r>
          </w:p>
        </w:tc>
        <w:tc>
          <w:tcPr>
            <w:tcW w:w="3120" w:type="dxa"/>
          </w:tcPr>
          <w:p w14:paraId="65E2487F" w14:textId="77777777" w:rsidR="0074156E" w:rsidRPr="001E55B9" w:rsidRDefault="00932EEE" w:rsidP="0053002F">
            <w:pPr>
              <w:rPr>
                <w:rFonts w:ascii="Courier New" w:hAnsi="Courier New" w:cs="Courier New"/>
                <w:sz w:val="20"/>
                <w:szCs w:val="20"/>
                <w:lang w:val="en-US"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  <w:lang w:val="en-US" w:eastAsia="en-US"/>
              </w:rPr>
              <w:t>HSSE Manager</w:t>
            </w:r>
          </w:p>
        </w:tc>
        <w:tc>
          <w:tcPr>
            <w:tcW w:w="5964" w:type="dxa"/>
          </w:tcPr>
          <w:p w14:paraId="65E24880" w14:textId="77777777" w:rsidR="0074156E" w:rsidRPr="00546671" w:rsidRDefault="00932EEE" w:rsidP="00EC5FFA">
            <w:pPr>
              <w:jc w:val="both"/>
              <w:rPr>
                <w:rFonts w:ascii="Calibri" w:hAnsi="Calibri" w:cs="Arial"/>
                <w:lang w:eastAsia="en-US"/>
              </w:rPr>
            </w:pPr>
            <w:r w:rsidRPr="00D8509C">
              <w:rPr>
                <w:rFonts w:ascii="Courier New" w:hAnsi="Courier New" w:cs="Courier New"/>
                <w:noProof/>
                <w:sz w:val="20"/>
                <w:szCs w:val="20"/>
                <w:highlight w:val="lightGray"/>
              </w:rPr>
              <w:t>Gerardus Johannes Marinus Timmers</w:t>
            </w:r>
          </w:p>
        </w:tc>
      </w:tr>
    </w:tbl>
    <w:p w14:paraId="65E24882" w14:textId="77777777" w:rsidR="00397FD7" w:rsidRPr="00F81EA5" w:rsidRDefault="00932EEE" w:rsidP="00397FD7">
      <w:pPr>
        <w:rPr>
          <w:rFonts w:ascii="Calibri" w:hAnsi="Calibri" w:cs="Arial"/>
          <w:color w:val="003366"/>
          <w:sz w:val="10"/>
          <w:szCs w:val="10"/>
          <w:lang w:eastAsia="en-US"/>
        </w:rPr>
      </w:pPr>
    </w:p>
    <w:p w14:paraId="65E24883" w14:textId="77777777" w:rsidR="00FF76DD" w:rsidRPr="00873483" w:rsidRDefault="00932EEE" w:rsidP="00873483">
      <w:pPr>
        <w:pStyle w:val="Heading1"/>
        <w:numPr>
          <w:ilvl w:val="0"/>
          <w:numId w:val="0"/>
        </w:numPr>
        <w:sectPr w:rsidR="00FF76DD" w:rsidRPr="00873483" w:rsidSect="00F924E0">
          <w:headerReference w:type="even" r:id="rId24"/>
          <w:headerReference w:type="default" r:id="rId25"/>
          <w:footerReference w:type="even" r:id="rId26"/>
          <w:footerReference w:type="default" r:id="rId27"/>
          <w:headerReference w:type="first" r:id="rId28"/>
          <w:footerReference w:type="first" r:id="rId2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E52F1A">
        <w:rPr>
          <w:rFonts w:asciiTheme="minorHAnsi" w:hAnsiTheme="minorHAnsi"/>
          <w:b w:val="0"/>
          <w:sz w:val="22"/>
          <w:szCs w:val="22"/>
        </w:rPr>
        <w:t>*</w:t>
      </w:r>
      <w:r w:rsidRPr="00E52F1A">
        <w:rPr>
          <w:rFonts w:asciiTheme="minorHAnsi" w:hAnsiTheme="minorHAnsi"/>
          <w:b w:val="0"/>
          <w:sz w:val="22"/>
          <w:szCs w:val="22"/>
        </w:rPr>
        <w:t>Access rights</w:t>
      </w:r>
      <w:r w:rsidRPr="00E52F1A">
        <w:rPr>
          <w:rFonts w:asciiTheme="minorHAnsi" w:hAnsiTheme="minorHAnsi"/>
          <w:b w:val="0"/>
          <w:sz w:val="22"/>
          <w:szCs w:val="22"/>
        </w:rPr>
        <w:t>:</w:t>
      </w:r>
      <w:r w:rsidRPr="00E52F1A">
        <w:tab/>
        <w:t xml:space="preserve"> </w:t>
      </w:r>
      <w:r w:rsidRPr="00E52F1A">
        <w:t xml:space="preserve">    </w:t>
      </w:r>
      <w:r w:rsidRPr="00E52F1A">
        <w:t xml:space="preserve"> </w:t>
      </w:r>
      <w:r w:rsidRPr="00E52F1A">
        <w:t xml:space="preserve"> </w:t>
      </w:r>
      <w:r w:rsidRPr="00E52F1A">
        <w:rPr>
          <w:rFonts w:asciiTheme="minorHAnsi" w:hAnsiTheme="minorHAnsi"/>
          <w:sz w:val="22"/>
          <w:szCs w:val="22"/>
        </w:rPr>
        <w:fldChar w:fldCharType="begin"/>
      </w:r>
      <w:r w:rsidRPr="00E52F1A">
        <w:rPr>
          <w:rFonts w:asciiTheme="minorHAnsi" w:hAnsiTheme="minorHAnsi"/>
          <w:sz w:val="22"/>
          <w:szCs w:val="22"/>
        </w:rPr>
        <w:instrText xml:space="preserve"> DOCPROPERTY  Confidentiality  \* MERGEFORMAT </w:instrText>
      </w:r>
      <w:r w:rsidRPr="00E52F1A">
        <w:rPr>
          <w:rFonts w:asciiTheme="minorHAnsi" w:hAnsiTheme="minorHAnsi"/>
          <w:sz w:val="22"/>
          <w:szCs w:val="22"/>
        </w:rPr>
        <w:fldChar w:fldCharType="separate"/>
      </w:r>
      <w:r w:rsidRPr="00E52F1A">
        <w:rPr>
          <w:rFonts w:asciiTheme="minorHAnsi" w:hAnsiTheme="minorHAnsi"/>
          <w:sz w:val="22"/>
          <w:szCs w:val="22"/>
        </w:rPr>
        <w:t>Generally</w:t>
      </w:r>
      <w:r w:rsidRPr="00E52F1A">
        <w:rPr>
          <w:rFonts w:asciiTheme="minorHAnsi" w:hAnsiTheme="minorHAnsi"/>
          <w:sz w:val="22"/>
          <w:szCs w:val="22"/>
        </w:rPr>
        <w:t xml:space="preserve"> </w:t>
      </w:r>
      <w:r w:rsidRPr="00E52F1A">
        <w:rPr>
          <w:rFonts w:asciiTheme="minorHAnsi" w:hAnsiTheme="minorHAnsi"/>
          <w:sz w:val="22"/>
          <w:szCs w:val="22"/>
        </w:rPr>
        <w:t>Accessible</w:t>
      </w:r>
      <w:r w:rsidRPr="00E52F1A">
        <w:rPr>
          <w:rFonts w:asciiTheme="minorHAnsi" w:hAnsiTheme="minorHAnsi"/>
          <w:sz w:val="22"/>
          <w:szCs w:val="22"/>
        </w:rPr>
        <w:fldChar w:fldCharType="end"/>
      </w:r>
      <w:r w:rsidRPr="00EA0216">
        <w:t xml:space="preserve"> </w:t>
      </w:r>
      <w:r>
        <w:fldChar w:fldCharType="begin">
          <w:ffData>
            <w:name w:val="Controllo1"/>
            <w:enabled w:val="0"/>
            <w:calcOnExit w:val="0"/>
            <w:checkBox>
              <w:sizeAuto/>
              <w:default w:val="1"/>
            </w:checkBox>
          </w:ffData>
        </w:fldChar>
      </w:r>
      <w:bookmarkStart w:id="2" w:name="Controllo1"/>
      <w:r>
        <w:instrText xml:space="preserve"> FORMCHECKBOX </w:instrText>
      </w:r>
      <w:r>
        <w:fldChar w:fldCharType="separate"/>
      </w:r>
      <w:r>
        <w:fldChar w:fldCharType="end"/>
      </w:r>
      <w:bookmarkEnd w:id="2"/>
    </w:p>
    <w:p w14:paraId="65E24884" w14:textId="77777777" w:rsidR="00E848A8" w:rsidRDefault="00932E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5E24885" w14:textId="77777777" w:rsidR="00E848A8" w:rsidRDefault="00932E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5E24886" w14:textId="77777777" w:rsidR="00E848A8" w:rsidRDefault="00932E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5E24887" w14:textId="77777777" w:rsidR="00E848A8" w:rsidRDefault="00932EEE" w:rsidP="00310E5B">
      <w:pPr>
        <w:jc w:val="center"/>
        <w:rPr>
          <w:rFonts w:ascii="Calibri" w:hAnsi="Calibri" w:cs="Arial"/>
          <w:bCs/>
          <w:iCs/>
          <w:sz w:val="2"/>
          <w:szCs w:val="2"/>
          <w:lang w:val="en-US"/>
        </w:rPr>
      </w:pPr>
    </w:p>
    <w:p w14:paraId="65E24888" w14:textId="77777777" w:rsidR="00E848A8" w:rsidRPr="00E848A8" w:rsidRDefault="00932EEE" w:rsidP="00310E5B">
      <w:pPr>
        <w:jc w:val="center"/>
        <w:rPr>
          <w:rFonts w:ascii="Calibri" w:hAnsi="Calibri" w:cs="Arial"/>
          <w:sz w:val="2"/>
          <w:szCs w:val="2"/>
          <w:lang w:val="en-US"/>
        </w:rPr>
      </w:pPr>
      <w:r>
        <w:rPr>
          <w:rFonts w:ascii="Calibri" w:hAnsi="Calibri" w:cs="Arial"/>
          <w:bCs/>
          <w:iCs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5E2487D" wp14:editId="65E2487E">
                <wp:simplePos x="0" y="0"/>
                <wp:positionH relativeFrom="column">
                  <wp:posOffset>1062990</wp:posOffset>
                </wp:positionH>
                <wp:positionV relativeFrom="paragraph">
                  <wp:posOffset>36195</wp:posOffset>
                </wp:positionV>
                <wp:extent cx="3263900" cy="496570"/>
                <wp:effectExtent l="0" t="0" r="12700" b="26670"/>
                <wp:wrapSquare wrapText="bothSides"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63900" cy="496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5E24887" w14:textId="77777777" w:rsidR="008B032F" w:rsidRPr="000601F7" w:rsidRDefault="00932EEE" w:rsidP="00FF76DD">
                            <w:pPr>
                              <w:pStyle w:val="Header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  <w:t>Reviews Summary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5E2487D" id="AutoShape 21" o:spid="_x0000_s1027" style="position:absolute;left:0;text-align:left;margin-left:83.7pt;margin-top:2.85pt;width:257pt;height:39.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">
                <v:textbox style="mso-fit-shape-to-text:t">
                  <w:txbxContent>
                    <w:p w14:paraId="65E24887" w14:textId="77777777" w:rsidR="008B032F" w:rsidRPr="000601F7" w:rsidRDefault="00932EEE" w:rsidP="00FF76DD">
                      <w:pPr>
                        <w:pStyle w:val="Header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  <w:t>Reviews Summary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14:paraId="65E24889" w14:textId="77777777" w:rsidR="00FF76DD" w:rsidRPr="00ED3189" w:rsidRDefault="00932EEE" w:rsidP="00310E5B">
      <w:pPr>
        <w:jc w:val="center"/>
        <w:rPr>
          <w:rFonts w:ascii="Calibri" w:hAnsi="Calibri" w:cs="Arial"/>
          <w:bCs/>
          <w:iCs/>
          <w:lang w:val="en-US"/>
        </w:rPr>
      </w:pPr>
    </w:p>
    <w:p w14:paraId="65E2488A" w14:textId="77777777" w:rsidR="00FF76DD" w:rsidRDefault="00932EEE" w:rsidP="00310E5B">
      <w:pPr>
        <w:jc w:val="center"/>
        <w:rPr>
          <w:rFonts w:ascii="Calibri" w:hAnsi="Calibri" w:cs="Arial"/>
          <w:bCs/>
          <w:iCs/>
          <w:lang w:val="en-US"/>
        </w:rPr>
      </w:pPr>
    </w:p>
    <w:tbl>
      <w:tblPr>
        <w:tblW w:w="9464" w:type="dxa"/>
        <w:jc w:val="center"/>
        <w:tblLayout w:type="fixed"/>
        <w:tblLook w:val="0000" w:firstRow="0" w:lastRow="0" w:firstColumn="0" w:lastColumn="0" w:noHBand="0" w:noVBand="0"/>
      </w:tblPr>
      <w:tblGrid>
        <w:gridCol w:w="1584"/>
        <w:gridCol w:w="1693"/>
        <w:gridCol w:w="4322"/>
        <w:gridCol w:w="1865"/>
      </w:tblGrid>
      <w:tr w:rsidR="00FF76DD" w:rsidRPr="0004563C" w14:paraId="65E2488F" w14:textId="77777777" w:rsidTr="001625C8">
        <w:trPr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488B" w14:textId="77777777" w:rsidR="00FF76DD" w:rsidRPr="00546671" w:rsidRDefault="00932EEE" w:rsidP="00310E5B">
            <w:pPr>
              <w:jc w:val="center"/>
              <w:rPr>
                <w:rFonts w:ascii="Calibri" w:hAnsi="Calibri" w:cs="Arial"/>
                <w:b/>
                <w:color w:val="800000"/>
                <w:lang w:val="en-US" w:eastAsia="en-US"/>
              </w:rPr>
            </w:pPr>
            <w:r>
              <w:rPr>
                <w:rFonts w:ascii="Calibri" w:hAnsi="Calibri" w:cs="Arial"/>
                <w:b/>
                <w:color w:val="800000"/>
                <w:lang w:val="en-US" w:eastAsia="en-US"/>
              </w:rPr>
              <w:t>Review date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488C" w14:textId="77777777" w:rsidR="00FF76DD" w:rsidRPr="0004563C" w:rsidRDefault="00932EE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reference</w:t>
            </w: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488D" w14:textId="77777777" w:rsidR="00FF76DD" w:rsidRPr="0004563C" w:rsidRDefault="00932EEE" w:rsidP="00310E5B">
            <w:pPr>
              <w:tabs>
                <w:tab w:val="center" w:pos="4320"/>
                <w:tab w:val="right" w:pos="8640"/>
              </w:tabs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details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E2488E" w14:textId="77777777" w:rsidR="00FF76DD" w:rsidRPr="0004563C" w:rsidRDefault="00932EEE" w:rsidP="00310E5B">
            <w:pPr>
              <w:jc w:val="center"/>
              <w:rPr>
                <w:rFonts w:ascii="Calibri" w:hAnsi="Calibri" w:cs="Arial"/>
                <w:b/>
                <w:color w:val="800000"/>
                <w:lang w:eastAsia="en-US"/>
              </w:rPr>
            </w:pPr>
            <w:r>
              <w:rPr>
                <w:rFonts w:ascii="Calibri" w:hAnsi="Calibri" w:cs="Arial"/>
                <w:b/>
                <w:color w:val="800000"/>
                <w:lang w:eastAsia="en-US"/>
              </w:rPr>
              <w:t>Review version</w:t>
            </w:r>
          </w:p>
        </w:tc>
      </w:tr>
      <w:tr w:rsidR="00FF76DD" w:rsidRPr="0004563C" w14:paraId="65E24894" w14:textId="77777777" w:rsidTr="001625C8">
        <w:trPr>
          <w:trHeight w:val="820"/>
          <w:jc w:val="center"/>
        </w:trPr>
        <w:tc>
          <w:tcPr>
            <w:tcW w:w="15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890" w14:textId="77777777" w:rsidR="00FF76DD" w:rsidRPr="0004563C" w:rsidRDefault="00932E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2017-12-01</w:t>
            </w:r>
          </w:p>
        </w:tc>
        <w:tc>
          <w:tcPr>
            <w:tcW w:w="16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891" w14:textId="77777777" w:rsidR="00FF76DD" w:rsidRPr="0004563C" w:rsidRDefault="00932E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4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892" w14:textId="77777777" w:rsidR="00FF76DD" w:rsidRPr="0004563C" w:rsidRDefault="00932EEE" w:rsidP="00310E5B">
            <w:pPr>
              <w:ind w:left="360"/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24893" w14:textId="77777777" w:rsidR="00FF76DD" w:rsidRPr="0004563C" w:rsidRDefault="00932EEE" w:rsidP="00310E5B">
            <w:pPr>
              <w:jc w:val="center"/>
              <w:rPr>
                <w:rFonts w:ascii="Calibri" w:hAnsi="Calibri" w:cs="Arial"/>
                <w:b/>
                <w:color w:val="000000"/>
                <w:lang w:eastAsia="en-US"/>
              </w:rPr>
            </w:pPr>
            <w:r>
              <w:rPr>
                <w:rFonts w:ascii="Calibri" w:hAnsi="Calibri" w:cs="Arial"/>
                <w:b/>
                <w:noProof/>
                <w:color w:val="000000"/>
                <w:lang w:eastAsia="en-US"/>
              </w:rPr>
              <w:t>0</w:t>
            </w:r>
          </w:p>
        </w:tc>
      </w:tr>
    </w:tbl>
    <w:p w14:paraId="65E24895" w14:textId="77777777" w:rsidR="009A78D1" w:rsidRPr="001F3AAC" w:rsidRDefault="00932EEE" w:rsidP="00ED029D">
      <w:pPr>
        <w:rPr>
          <w:rFonts w:ascii="Calibri" w:hAnsi="Calibri" w:cs="Arial"/>
          <w:bCs/>
          <w:iCs/>
        </w:rPr>
      </w:pPr>
      <w:bookmarkStart w:id="3" w:name="DocumentToAdd"/>
      <w:bookmarkEnd w:id="3"/>
    </w:p>
    <w:sectPr w:rsidR="009A78D1" w:rsidRPr="001F3AAC">
      <w:pgSz w:w="11906" w:h="16838"/>
      <w:pgMar w:top="1440" w:right="1800" w:bottom="567" w:left="1800" w:header="570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E24881" w14:textId="77777777" w:rsidR="00FD2002" w:rsidRDefault="00FD200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14:paraId="65E24882" w14:textId="77777777" w:rsidR="00FD2002" w:rsidRDefault="00FD200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8C" w14:textId="77777777" w:rsidR="00A947C8" w:rsidRDefault="00932E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8E" w14:textId="77777777" w:rsidR="008B032F" w:rsidRPr="00FA7869" w:rsidRDefault="00932EEE" w:rsidP="00550518">
    <w:pPr>
      <w:pStyle w:val="Footer"/>
      <w:pBdr>
        <w:top w:val="thinThickSmallGap" w:sz="24" w:space="6" w:color="622423"/>
      </w:pBdr>
      <w:tabs>
        <w:tab w:val="center" w:pos="4800"/>
        <w:tab w:val="right" w:pos="9600"/>
      </w:tabs>
      <w:rPr>
        <w:rFonts w:cs="Arial"/>
        <w:sz w:val="18"/>
        <w:szCs w:val="18"/>
        <w:lang w:val="es-ES"/>
      </w:rPr>
    </w:pPr>
    <w:r>
      <w:rPr>
        <w:rFonts w:cs="Arial"/>
        <w:sz w:val="18"/>
        <w:szCs w:val="18"/>
        <w:lang w:val="es-ES"/>
      </w:rPr>
      <w:t>Document Code</w:t>
    </w:r>
    <w:r w:rsidRPr="00FA7869">
      <w:rPr>
        <w:rFonts w:cs="Arial"/>
        <w:sz w:val="18"/>
        <w:szCs w:val="18"/>
        <w:lang w:val="es-ES"/>
      </w:rPr>
      <w:t xml:space="preserve">: </w:t>
    </w:r>
    <w:r>
      <w:rPr>
        <w:rFonts w:cs="Arial"/>
        <w:noProof/>
        <w:sz w:val="18"/>
        <w:szCs w:val="18"/>
        <w:lang w:val="es-ES"/>
      </w:rPr>
      <w:t>KPNWE.WI.11.HSCO.053</w:t>
    </w:r>
    <w:r>
      <w:rPr>
        <w:rFonts w:cs="Arial"/>
        <w:sz w:val="18"/>
        <w:szCs w:val="18"/>
        <w:lang w:val="es-ES"/>
      </w:rPr>
      <w:tab/>
      <w:t>Rev</w:t>
    </w:r>
    <w:r w:rsidRPr="00FA7869">
      <w:rPr>
        <w:rFonts w:cs="Arial"/>
        <w:sz w:val="18"/>
        <w:szCs w:val="18"/>
        <w:lang w:val="es-ES"/>
      </w:rPr>
      <w:t xml:space="preserve">: </w:t>
    </w:r>
    <w:bookmarkStart w:id="1" w:name="RevisionNumber"/>
    <w:r>
      <w:rPr>
        <w:rFonts w:cs="Arial"/>
        <w:noProof/>
        <w:sz w:val="18"/>
        <w:szCs w:val="18"/>
        <w:lang w:val="es-ES"/>
      </w:rPr>
      <w:t>0</w:t>
    </w:r>
    <w:r w:rsidRPr="00FA7869">
      <w:rPr>
        <w:lang w:val="es-ES"/>
      </w:rPr>
      <w:t xml:space="preserve"> </w:t>
    </w:r>
    <w:bookmarkEnd w:id="1"/>
    <w:r w:rsidRPr="00FA7869">
      <w:rPr>
        <w:lang w:val="es-ES"/>
      </w:rPr>
      <w:tab/>
    </w:r>
  </w:p>
  <w:p w14:paraId="65E2488F" w14:textId="1CB83751" w:rsidR="008B032F" w:rsidRPr="00E848A8" w:rsidRDefault="00932EE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18"/>
        <w:szCs w:val="18"/>
        <w:lang w:val="en-US"/>
      </w:rPr>
    </w:pPr>
    <w:r>
      <w:rPr>
        <w:rFonts w:cs="Arial"/>
        <w:sz w:val="18"/>
        <w:szCs w:val="18"/>
        <w:lang w:val="fr-FR"/>
      </w:rPr>
      <w:t>Approval date</w:t>
    </w:r>
    <w:r w:rsidRPr="00C25966">
      <w:rPr>
        <w:rFonts w:cs="Arial"/>
        <w:sz w:val="18"/>
        <w:szCs w:val="18"/>
        <w:lang w:val="fr-FR"/>
      </w:rPr>
      <w:t xml:space="preserve">: </w:t>
    </w:r>
    <w:r>
      <w:rPr>
        <w:rFonts w:cs="Arial"/>
        <w:noProof/>
        <w:sz w:val="18"/>
        <w:szCs w:val="18"/>
        <w:lang w:val="fr-FR"/>
      </w:rPr>
      <w:t>01</w:t>
    </w:r>
    <w:r>
      <w:rPr>
        <w:rFonts w:cs="Arial"/>
        <w:noProof/>
        <w:sz w:val="18"/>
        <w:szCs w:val="18"/>
        <w:lang w:val="fr-FR"/>
      </w:rPr>
      <w:t xml:space="preserve"> Dec 2017</w:t>
    </w:r>
    <w:r w:rsidRPr="00C25966">
      <w:rPr>
        <w:rFonts w:cs="Arial"/>
        <w:sz w:val="18"/>
        <w:szCs w:val="18"/>
        <w:lang w:val="fr-FR"/>
      </w:rPr>
      <w:tab/>
    </w:r>
    <w:r>
      <w:rPr>
        <w:rFonts w:cs="Arial"/>
        <w:sz w:val="18"/>
        <w:szCs w:val="18"/>
        <w:lang w:val="fr-FR"/>
      </w:rPr>
      <w:t>Next Review D</w:t>
    </w:r>
    <w:r>
      <w:rPr>
        <w:rFonts w:cs="Arial"/>
        <w:sz w:val="18"/>
        <w:szCs w:val="18"/>
        <w:lang w:val="fr-FR"/>
      </w:rPr>
      <w:t xml:space="preserve">ate: </w:t>
    </w:r>
    <w:r>
      <w:rPr>
        <w:rFonts w:cs="Arial"/>
        <w:noProof/>
        <w:sz w:val="18"/>
        <w:szCs w:val="18"/>
        <w:lang w:val="fr-FR"/>
      </w:rPr>
      <w:t>01 Dec 2020</w:t>
    </w:r>
    <w:r w:rsidRPr="00C25966">
      <w:rPr>
        <w:rFonts w:cs="Arial"/>
        <w:sz w:val="18"/>
        <w:szCs w:val="18"/>
        <w:lang w:val="fr-FR"/>
      </w:rPr>
      <w:tab/>
      <w:t xml:space="preserve">Page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PAGE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1</w:t>
    </w:r>
    <w:r w:rsidRPr="009D67FF">
      <w:rPr>
        <w:rFonts w:cs="Arial"/>
        <w:sz w:val="18"/>
        <w:szCs w:val="18"/>
      </w:rPr>
      <w:fldChar w:fldCharType="end"/>
    </w:r>
    <w:r w:rsidRPr="00C25966">
      <w:rPr>
        <w:rFonts w:cs="Arial"/>
        <w:sz w:val="18"/>
        <w:szCs w:val="18"/>
        <w:lang w:val="fr-FR"/>
      </w:rPr>
      <w:t xml:space="preserve"> of </w:t>
    </w:r>
    <w:r w:rsidRPr="009D67FF">
      <w:rPr>
        <w:rFonts w:cs="Arial"/>
        <w:sz w:val="18"/>
        <w:szCs w:val="18"/>
      </w:rPr>
      <w:fldChar w:fldCharType="begin"/>
    </w:r>
    <w:r w:rsidRPr="00C25966">
      <w:rPr>
        <w:rFonts w:cs="Arial"/>
        <w:sz w:val="18"/>
        <w:szCs w:val="18"/>
        <w:lang w:val="fr-FR"/>
      </w:rPr>
      <w:instrText xml:space="preserve"> NUMPAGES </w:instrText>
    </w:r>
    <w:r w:rsidRPr="009D67FF">
      <w:rPr>
        <w:rFonts w:cs="Arial"/>
        <w:sz w:val="18"/>
        <w:szCs w:val="18"/>
      </w:rPr>
      <w:fldChar w:fldCharType="separate"/>
    </w:r>
    <w:r>
      <w:rPr>
        <w:rFonts w:cs="Arial"/>
        <w:noProof/>
        <w:sz w:val="18"/>
        <w:szCs w:val="18"/>
        <w:lang w:val="fr-FR"/>
      </w:rPr>
      <w:t>7</w:t>
    </w:r>
    <w:r w:rsidRPr="009D67FF">
      <w:rPr>
        <w:rFonts w:cs="Arial"/>
        <w:sz w:val="18"/>
        <w:szCs w:val="18"/>
      </w:rPr>
      <w:fldChar w:fldCharType="end"/>
    </w:r>
  </w:p>
  <w:p w14:paraId="65E24890" w14:textId="77777777" w:rsidR="00414BF6" w:rsidRPr="00414BF6" w:rsidRDefault="00932EEE" w:rsidP="00550518">
    <w:pPr>
      <w:pStyle w:val="Footer"/>
      <w:pBdr>
        <w:top w:val="thinThickSmallGap" w:sz="24" w:space="6" w:color="622423"/>
      </w:pBdr>
      <w:tabs>
        <w:tab w:val="right" w:pos="9600"/>
      </w:tabs>
      <w:rPr>
        <w:rFonts w:cs="Arial"/>
        <w:sz w:val="2"/>
        <w:szCs w:val="2"/>
        <w:lang w:val="en-US"/>
      </w:rPr>
    </w:pPr>
  </w:p>
  <w:p w14:paraId="65E24891" w14:textId="77777777" w:rsidR="005A05A8" w:rsidRPr="005A05A8" w:rsidRDefault="00932EEE" w:rsidP="005A05A8">
    <w:pPr>
      <w:pStyle w:val="Footer"/>
      <w:pBdr>
        <w:top w:val="thinThickSmallGap" w:sz="24" w:space="6" w:color="622423"/>
      </w:pBdr>
      <w:tabs>
        <w:tab w:val="right" w:pos="9600"/>
      </w:tabs>
      <w:jc w:val="center"/>
      <w:rPr>
        <w:rFonts w:cs="Arial"/>
        <w:b/>
        <w:color w:val="FF0000"/>
        <w:sz w:val="16"/>
        <w:szCs w:val="16"/>
        <w:lang w:val="en-US"/>
      </w:rPr>
    </w:pPr>
    <w:r w:rsidRPr="005A05A8">
      <w:rPr>
        <w:rFonts w:cs="Arial"/>
        <w:b/>
        <w:color w:val="FF0000"/>
        <w:sz w:val="16"/>
        <w:szCs w:val="16"/>
        <w:shd w:val="clear" w:color="auto" w:fill="FFFFFF"/>
        <w:lang w:val="en-US"/>
      </w:rPr>
      <w:t>UNCONTROLLED DOCUMENT IF PRINTED OR STORED OUTSIDE OF PUBLISHED AREA ON FORECOURT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95" w14:textId="77777777" w:rsidR="00A947C8" w:rsidRDefault="00932E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E2487F" w14:textId="77777777" w:rsidR="00FD2002" w:rsidRDefault="00FD200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14:paraId="65E24880" w14:textId="77777777" w:rsidR="00FD2002" w:rsidRDefault="00FD200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87" w14:textId="77777777" w:rsidR="00A947C8" w:rsidRDefault="00932E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89" w14:textId="77777777" w:rsidR="00B47929" w:rsidRDefault="00932EEE" w:rsidP="00BC5717">
    <w:pPr>
      <w:tabs>
        <w:tab w:val="left" w:pos="7938"/>
      </w:tabs>
      <w:spacing w:before="160"/>
      <w:ind w:right="140"/>
      <w:jc w:val="center"/>
      <w:rPr>
        <w:rFonts w:ascii="Calibri" w:hAnsi="Calibri" w:cs="Arial"/>
        <w:b/>
        <w:bCs/>
        <w:sz w:val="28"/>
        <w:szCs w:val="28"/>
      </w:rPr>
    </w:pPr>
    <w:r>
      <w:rPr>
        <w:b/>
        <w:bCs/>
        <w:noProof/>
        <w:lang w:eastAsia="en-GB"/>
      </w:rPr>
      <w:drawing>
        <wp:anchor distT="0" distB="0" distL="114300" distR="114300" simplePos="0" relativeHeight="251659264" behindDoc="0" locked="0" layoutInCell="1" allowOverlap="1" wp14:anchorId="65E24883" wp14:editId="65E24884">
          <wp:simplePos x="0" y="0"/>
          <wp:positionH relativeFrom="column">
            <wp:posOffset>5109210</wp:posOffset>
          </wp:positionH>
          <wp:positionV relativeFrom="paragraph">
            <wp:posOffset>-85090</wp:posOffset>
          </wp:positionV>
          <wp:extent cx="1136015" cy="523875"/>
          <wp:effectExtent l="0" t="0" r="6985" b="9525"/>
          <wp:wrapNone/>
          <wp:docPr id="17" name="Immagine 1" descr="Q8_H_p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Q8_H_p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601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Arial"/>
        <w:b/>
        <w:bCs/>
        <w:noProof/>
        <w:sz w:val="28"/>
        <w:szCs w:val="28"/>
      </w:rPr>
      <w:t>TSR - Travail en Hauteur - Engins Elevateurs</w:t>
    </w:r>
  </w:p>
  <w:p w14:paraId="65E2488A" w14:textId="77777777" w:rsidR="00113736" w:rsidRPr="003D0918" w:rsidRDefault="00932EEE" w:rsidP="00204768">
    <w:pPr>
      <w:tabs>
        <w:tab w:val="left" w:pos="7797"/>
      </w:tabs>
      <w:spacing w:before="160"/>
      <w:ind w:right="1836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E24893" w14:textId="77777777" w:rsidR="00A947C8" w:rsidRDefault="00932E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65DC"/>
    <w:multiLevelType w:val="hybridMultilevel"/>
    <w:tmpl w:val="1ED8CEDC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33B29B2"/>
    <w:multiLevelType w:val="hybridMultilevel"/>
    <w:tmpl w:val="881C39EE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AF0185"/>
    <w:multiLevelType w:val="hybridMultilevel"/>
    <w:tmpl w:val="25628B52"/>
    <w:lvl w:ilvl="0" w:tplc="4E86D40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6FC229E"/>
    <w:multiLevelType w:val="hybridMultilevel"/>
    <w:tmpl w:val="87E00C22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96D3A78"/>
    <w:multiLevelType w:val="hybridMultilevel"/>
    <w:tmpl w:val="981CD17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9663B8"/>
    <w:multiLevelType w:val="hybridMultilevel"/>
    <w:tmpl w:val="85C2D94C"/>
    <w:lvl w:ilvl="0" w:tplc="159C426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ECB2F1E"/>
    <w:multiLevelType w:val="hybridMultilevel"/>
    <w:tmpl w:val="95729A48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FE03D55"/>
    <w:multiLevelType w:val="hybridMultilevel"/>
    <w:tmpl w:val="B1EC4216"/>
    <w:lvl w:ilvl="0" w:tplc="B52E4B7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EF3EE5"/>
    <w:multiLevelType w:val="hybridMultilevel"/>
    <w:tmpl w:val="3506755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3C7B3C"/>
    <w:multiLevelType w:val="hybridMultilevel"/>
    <w:tmpl w:val="F9E0990C"/>
    <w:lvl w:ilvl="0" w:tplc="79260AF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5174FF6"/>
    <w:multiLevelType w:val="hybridMultilevel"/>
    <w:tmpl w:val="9F84FEA8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183157AA"/>
    <w:multiLevelType w:val="hybridMultilevel"/>
    <w:tmpl w:val="C8A6286A"/>
    <w:lvl w:ilvl="0" w:tplc="B14C509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B2C0ABC"/>
    <w:multiLevelType w:val="hybridMultilevel"/>
    <w:tmpl w:val="EB6292A2"/>
    <w:lvl w:ilvl="0" w:tplc="417EED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F21799A"/>
    <w:multiLevelType w:val="hybridMultilevel"/>
    <w:tmpl w:val="5944D8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8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8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8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8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4" w15:restartNumberingAfterBreak="0">
    <w:nsid w:val="20A1715E"/>
    <w:multiLevelType w:val="hybridMultilevel"/>
    <w:tmpl w:val="0CDCA6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9F71D0"/>
    <w:multiLevelType w:val="hybridMultilevel"/>
    <w:tmpl w:val="0358885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55372FE"/>
    <w:multiLevelType w:val="hybridMultilevel"/>
    <w:tmpl w:val="9F8E9E9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5A23CF9"/>
    <w:multiLevelType w:val="hybridMultilevel"/>
    <w:tmpl w:val="DE36723A"/>
    <w:lvl w:ilvl="0" w:tplc="0813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1A47836"/>
    <w:multiLevelType w:val="hybridMultilevel"/>
    <w:tmpl w:val="FC7241AC"/>
    <w:lvl w:ilvl="0" w:tplc="0A24501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1BC094D"/>
    <w:multiLevelType w:val="hybridMultilevel"/>
    <w:tmpl w:val="E334E006"/>
    <w:lvl w:ilvl="0" w:tplc="ADA2C322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2D22D41"/>
    <w:multiLevelType w:val="hybridMultilevel"/>
    <w:tmpl w:val="9B708E86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C077C1A"/>
    <w:multiLevelType w:val="hybridMultilevel"/>
    <w:tmpl w:val="1B364C0E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EE2220A">
      <w:numFmt w:val="bullet"/>
      <w:lvlText w:val=""/>
      <w:lvlJc w:val="left"/>
      <w:pPr>
        <w:ind w:left="2340" w:hanging="360"/>
      </w:pPr>
      <w:rPr>
        <w:rFonts w:ascii="Wingdings" w:eastAsia="Times New Roman" w:hAnsi="Wingdings" w:hint="default"/>
        <w:b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E8917B6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EF25373"/>
    <w:multiLevelType w:val="hybridMultilevel"/>
    <w:tmpl w:val="794A67E6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1EA4413"/>
    <w:multiLevelType w:val="hybridMultilevel"/>
    <w:tmpl w:val="AB0090CC"/>
    <w:lvl w:ilvl="0" w:tplc="7C1CCAC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3453B78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35B0175"/>
    <w:multiLevelType w:val="multilevel"/>
    <w:tmpl w:val="325C5CE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3B352FC"/>
    <w:multiLevelType w:val="multilevel"/>
    <w:tmpl w:val="4358D38A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pStyle w:val="Heading2"/>
      <w:lvlText w:val="%1.%2."/>
      <w:lvlJc w:val="left"/>
      <w:pPr>
        <w:tabs>
          <w:tab w:val="num" w:pos="36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60"/>
        </w:tabs>
        <w:ind w:left="1080" w:hanging="108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360"/>
        </w:tabs>
        <w:ind w:left="1440" w:hanging="1440"/>
      </w:pPr>
      <w:rPr>
        <w:rFonts w:hint="default"/>
      </w:rPr>
    </w:lvl>
    <w:lvl w:ilvl="4">
      <w:start w:val="1"/>
      <w:numFmt w:val="decimal"/>
      <w:pStyle w:val="Heading5"/>
      <w:lvlText w:val="%1.%2.%3.%4.%5."/>
      <w:lvlJc w:val="left"/>
      <w:pPr>
        <w:tabs>
          <w:tab w:val="num" w:pos="360"/>
        </w:tabs>
        <w:ind w:left="1728" w:hanging="1728"/>
      </w:pPr>
      <w:rPr>
        <w:rFonts w:hint="default"/>
      </w:rPr>
    </w:lvl>
    <w:lvl w:ilvl="5">
      <w:start w:val="1"/>
      <w:numFmt w:val="decimal"/>
      <w:pStyle w:val="Heading6"/>
      <w:lvlText w:val="%1.%2.%3.%4.%5.%6."/>
      <w:lvlJc w:val="left"/>
      <w:pPr>
        <w:tabs>
          <w:tab w:val="num" w:pos="360"/>
        </w:tabs>
        <w:ind w:left="2016" w:hanging="2016"/>
      </w:pPr>
      <w:rPr>
        <w:rFonts w:hint="default"/>
      </w:rPr>
    </w:lvl>
    <w:lvl w:ilvl="6">
      <w:start w:val="1"/>
      <w:numFmt w:val="decimal"/>
      <w:pStyle w:val="Heading7"/>
      <w:lvlText w:val="%1.%2.%3.%4.%5.%6.%7."/>
      <w:lvlJc w:val="left"/>
      <w:pPr>
        <w:tabs>
          <w:tab w:val="num" w:pos="360"/>
        </w:tabs>
        <w:ind w:left="2304" w:hanging="2304"/>
      </w:pPr>
      <w:rPr>
        <w:rFonts w:hint="default"/>
      </w:rPr>
    </w:lvl>
    <w:lvl w:ilvl="7">
      <w:start w:val="1"/>
      <w:numFmt w:val="decimal"/>
      <w:pStyle w:val="Heading8"/>
      <w:lvlText w:val="%1.%2.%3.%4.%5.%6.%7.%8."/>
      <w:lvlJc w:val="left"/>
      <w:pPr>
        <w:tabs>
          <w:tab w:val="num" w:pos="360"/>
        </w:tabs>
        <w:ind w:left="2592" w:hanging="2592"/>
      </w:pPr>
      <w:rPr>
        <w:rFonts w:hint="default"/>
      </w:rPr>
    </w:lvl>
    <w:lvl w:ilvl="8">
      <w:start w:val="1"/>
      <w:numFmt w:val="decimal"/>
      <w:pStyle w:val="Heading9"/>
      <w:lvlText w:val="%1.%2.%3.%4.%5.%6.%7.%8.%9."/>
      <w:lvlJc w:val="left"/>
      <w:pPr>
        <w:tabs>
          <w:tab w:val="num" w:pos="360"/>
        </w:tabs>
        <w:ind w:left="2880" w:hanging="2880"/>
      </w:pPr>
      <w:rPr>
        <w:rFonts w:hint="default"/>
      </w:rPr>
    </w:lvl>
  </w:abstractNum>
  <w:abstractNum w:abstractNumId="28" w15:restartNumberingAfterBreak="0">
    <w:nsid w:val="56A00298"/>
    <w:multiLevelType w:val="hybridMultilevel"/>
    <w:tmpl w:val="7662E940"/>
    <w:lvl w:ilvl="0" w:tplc="C32050A4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95E3D08"/>
    <w:multiLevelType w:val="hybridMultilevel"/>
    <w:tmpl w:val="2542AD56"/>
    <w:lvl w:ilvl="0" w:tplc="871817D6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ABA6825"/>
    <w:multiLevelType w:val="hybridMultilevel"/>
    <w:tmpl w:val="A0E2938C"/>
    <w:lvl w:ilvl="0" w:tplc="08130017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 w15:restartNumberingAfterBreak="0">
    <w:nsid w:val="5B081B53"/>
    <w:multiLevelType w:val="hybridMultilevel"/>
    <w:tmpl w:val="795C44BC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C882148"/>
    <w:multiLevelType w:val="hybridMultilevel"/>
    <w:tmpl w:val="E26AA660"/>
    <w:lvl w:ilvl="0" w:tplc="EC0E961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F4C3BBF"/>
    <w:multiLevelType w:val="hybridMultilevel"/>
    <w:tmpl w:val="BDBC4D40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0C11214"/>
    <w:multiLevelType w:val="hybridMultilevel"/>
    <w:tmpl w:val="9AD8E4D6"/>
    <w:lvl w:ilvl="0" w:tplc="95DEEB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9262EDC"/>
    <w:multiLevelType w:val="hybridMultilevel"/>
    <w:tmpl w:val="7B5C1EA8"/>
    <w:lvl w:ilvl="0" w:tplc="FE9AFFDE">
      <w:start w:val="2"/>
      <w:numFmt w:val="bullet"/>
      <w:lvlText w:val="&gt;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924B75"/>
    <w:multiLevelType w:val="hybridMultilevel"/>
    <w:tmpl w:val="F40ACFA2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CF07A95"/>
    <w:multiLevelType w:val="hybridMultilevel"/>
    <w:tmpl w:val="2A008CCE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6F80E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hint="default"/>
      </w:rPr>
    </w:lvl>
    <w:lvl w:ilvl="3" w:tplc="C03E8BB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0F66018A">
      <w:start w:val="1"/>
      <w:numFmt w:val="bullet"/>
      <w:lvlText w:val="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0DD20F5"/>
    <w:multiLevelType w:val="hybridMultilevel"/>
    <w:tmpl w:val="D5129DB2"/>
    <w:lvl w:ilvl="0" w:tplc="0813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9" w15:restartNumberingAfterBreak="0">
    <w:nsid w:val="73D44A62"/>
    <w:multiLevelType w:val="hybridMultilevel"/>
    <w:tmpl w:val="B3541786"/>
    <w:lvl w:ilvl="0" w:tplc="0813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54A6432"/>
    <w:multiLevelType w:val="hybridMultilevel"/>
    <w:tmpl w:val="5B24DF2A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615EC4"/>
    <w:multiLevelType w:val="hybridMultilevel"/>
    <w:tmpl w:val="B922F462"/>
    <w:lvl w:ilvl="0" w:tplc="58DC89A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1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1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8"/>
  </w:num>
  <w:num w:numId="3">
    <w:abstractNumId w:val="40"/>
  </w:num>
  <w:num w:numId="4">
    <w:abstractNumId w:val="13"/>
  </w:num>
  <w:num w:numId="5">
    <w:abstractNumId w:val="23"/>
  </w:num>
  <w:num w:numId="6">
    <w:abstractNumId w:val="14"/>
  </w:num>
  <w:num w:numId="7">
    <w:abstractNumId w:val="4"/>
  </w:num>
  <w:num w:numId="8">
    <w:abstractNumId w:val="37"/>
  </w:num>
  <w:num w:numId="9">
    <w:abstractNumId w:val="26"/>
  </w:num>
  <w:num w:numId="10">
    <w:abstractNumId w:val="39"/>
  </w:num>
  <w:num w:numId="11">
    <w:abstractNumId w:val="21"/>
  </w:num>
  <w:num w:numId="12">
    <w:abstractNumId w:val="16"/>
  </w:num>
  <w:num w:numId="13">
    <w:abstractNumId w:val="36"/>
  </w:num>
  <w:num w:numId="14">
    <w:abstractNumId w:val="7"/>
  </w:num>
  <w:num w:numId="15">
    <w:abstractNumId w:val="6"/>
  </w:num>
  <w:num w:numId="16">
    <w:abstractNumId w:val="33"/>
  </w:num>
  <w:num w:numId="17">
    <w:abstractNumId w:val="22"/>
  </w:num>
  <w:num w:numId="18">
    <w:abstractNumId w:val="38"/>
  </w:num>
  <w:num w:numId="19">
    <w:abstractNumId w:val="2"/>
  </w:num>
  <w:num w:numId="20">
    <w:abstractNumId w:val="25"/>
  </w:num>
  <w:num w:numId="21">
    <w:abstractNumId w:val="35"/>
  </w:num>
  <w:num w:numId="22">
    <w:abstractNumId w:val="31"/>
  </w:num>
  <w:num w:numId="23">
    <w:abstractNumId w:val="30"/>
  </w:num>
  <w:num w:numId="24">
    <w:abstractNumId w:val="0"/>
  </w:num>
  <w:num w:numId="25">
    <w:abstractNumId w:val="17"/>
  </w:num>
  <w:num w:numId="26">
    <w:abstractNumId w:val="11"/>
  </w:num>
  <w:num w:numId="27">
    <w:abstractNumId w:val="3"/>
  </w:num>
  <w:num w:numId="28">
    <w:abstractNumId w:val="12"/>
  </w:num>
  <w:num w:numId="29">
    <w:abstractNumId w:val="10"/>
  </w:num>
  <w:num w:numId="30">
    <w:abstractNumId w:val="15"/>
  </w:num>
  <w:num w:numId="31">
    <w:abstractNumId w:val="28"/>
  </w:num>
  <w:num w:numId="32">
    <w:abstractNumId w:val="41"/>
  </w:num>
  <w:num w:numId="33">
    <w:abstractNumId w:val="20"/>
  </w:num>
  <w:num w:numId="34">
    <w:abstractNumId w:val="18"/>
  </w:num>
  <w:num w:numId="35">
    <w:abstractNumId w:val="24"/>
  </w:num>
  <w:num w:numId="36">
    <w:abstractNumId w:val="29"/>
  </w:num>
  <w:num w:numId="37">
    <w:abstractNumId w:val="32"/>
  </w:num>
  <w:num w:numId="38">
    <w:abstractNumId w:val="9"/>
  </w:num>
  <w:num w:numId="39">
    <w:abstractNumId w:val="19"/>
  </w:num>
  <w:num w:numId="40">
    <w:abstractNumId w:val="34"/>
  </w:num>
  <w:num w:numId="41">
    <w:abstractNumId w:val="5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6BE"/>
    <w:rsid w:val="0006506B"/>
    <w:rsid w:val="00070B47"/>
    <w:rsid w:val="00073551"/>
    <w:rsid w:val="00081F67"/>
    <w:rsid w:val="00086404"/>
    <w:rsid w:val="000940F5"/>
    <w:rsid w:val="000A25F3"/>
    <w:rsid w:val="000B3501"/>
    <w:rsid w:val="000D2EB5"/>
    <w:rsid w:val="000D7D82"/>
    <w:rsid w:val="000E3238"/>
    <w:rsid w:val="00110DB9"/>
    <w:rsid w:val="00130F72"/>
    <w:rsid w:val="00132F90"/>
    <w:rsid w:val="001363B8"/>
    <w:rsid w:val="001454C3"/>
    <w:rsid w:val="00170C78"/>
    <w:rsid w:val="00183DE2"/>
    <w:rsid w:val="00197491"/>
    <w:rsid w:val="001E39D8"/>
    <w:rsid w:val="001F5BDC"/>
    <w:rsid w:val="00204EF0"/>
    <w:rsid w:val="00211025"/>
    <w:rsid w:val="0026222E"/>
    <w:rsid w:val="00263BD5"/>
    <w:rsid w:val="002A3468"/>
    <w:rsid w:val="002B2240"/>
    <w:rsid w:val="002C4779"/>
    <w:rsid w:val="002D166A"/>
    <w:rsid w:val="002D7318"/>
    <w:rsid w:val="002E7BD0"/>
    <w:rsid w:val="002F12FE"/>
    <w:rsid w:val="002F36E5"/>
    <w:rsid w:val="003229AD"/>
    <w:rsid w:val="00324B91"/>
    <w:rsid w:val="00330D4B"/>
    <w:rsid w:val="00332ED5"/>
    <w:rsid w:val="003368BD"/>
    <w:rsid w:val="0034779E"/>
    <w:rsid w:val="003505EE"/>
    <w:rsid w:val="003668D3"/>
    <w:rsid w:val="003B0114"/>
    <w:rsid w:val="003C43FC"/>
    <w:rsid w:val="003C5A34"/>
    <w:rsid w:val="003E25F5"/>
    <w:rsid w:val="003E5875"/>
    <w:rsid w:val="00403222"/>
    <w:rsid w:val="00415FD8"/>
    <w:rsid w:val="00426305"/>
    <w:rsid w:val="00433FF3"/>
    <w:rsid w:val="00435AC1"/>
    <w:rsid w:val="00443DEE"/>
    <w:rsid w:val="004577AE"/>
    <w:rsid w:val="00463121"/>
    <w:rsid w:val="004755F8"/>
    <w:rsid w:val="00486425"/>
    <w:rsid w:val="004914BF"/>
    <w:rsid w:val="00496568"/>
    <w:rsid w:val="004B05C0"/>
    <w:rsid w:val="004B3F96"/>
    <w:rsid w:val="004C154D"/>
    <w:rsid w:val="005116D4"/>
    <w:rsid w:val="0051688C"/>
    <w:rsid w:val="00534622"/>
    <w:rsid w:val="005361B5"/>
    <w:rsid w:val="00540D15"/>
    <w:rsid w:val="005775C6"/>
    <w:rsid w:val="00577F63"/>
    <w:rsid w:val="00594311"/>
    <w:rsid w:val="005945A9"/>
    <w:rsid w:val="00595CF4"/>
    <w:rsid w:val="005A3360"/>
    <w:rsid w:val="005B1551"/>
    <w:rsid w:val="005B34C3"/>
    <w:rsid w:val="005C504E"/>
    <w:rsid w:val="005E339F"/>
    <w:rsid w:val="00621375"/>
    <w:rsid w:val="0062500C"/>
    <w:rsid w:val="006323CA"/>
    <w:rsid w:val="00636AA2"/>
    <w:rsid w:val="006540F5"/>
    <w:rsid w:val="0067571F"/>
    <w:rsid w:val="0069601F"/>
    <w:rsid w:val="006C260F"/>
    <w:rsid w:val="00706034"/>
    <w:rsid w:val="00732F69"/>
    <w:rsid w:val="007530A9"/>
    <w:rsid w:val="007A3CDB"/>
    <w:rsid w:val="007B7F90"/>
    <w:rsid w:val="007C2747"/>
    <w:rsid w:val="00816EBB"/>
    <w:rsid w:val="00836E8C"/>
    <w:rsid w:val="0089515C"/>
    <w:rsid w:val="00897D20"/>
    <w:rsid w:val="008D7845"/>
    <w:rsid w:val="008E3CA6"/>
    <w:rsid w:val="008E4713"/>
    <w:rsid w:val="008F0AF0"/>
    <w:rsid w:val="008F293A"/>
    <w:rsid w:val="009032F8"/>
    <w:rsid w:val="00912747"/>
    <w:rsid w:val="0092152E"/>
    <w:rsid w:val="009222D2"/>
    <w:rsid w:val="0092604C"/>
    <w:rsid w:val="00932EEE"/>
    <w:rsid w:val="009423E3"/>
    <w:rsid w:val="009460F6"/>
    <w:rsid w:val="00951771"/>
    <w:rsid w:val="0096417C"/>
    <w:rsid w:val="00965111"/>
    <w:rsid w:val="00991ADD"/>
    <w:rsid w:val="00994325"/>
    <w:rsid w:val="009C30D4"/>
    <w:rsid w:val="009D732B"/>
    <w:rsid w:val="009E3780"/>
    <w:rsid w:val="009E7072"/>
    <w:rsid w:val="009F0560"/>
    <w:rsid w:val="009F6DD4"/>
    <w:rsid w:val="00A03E78"/>
    <w:rsid w:val="00A041FA"/>
    <w:rsid w:val="00A15C66"/>
    <w:rsid w:val="00A429CA"/>
    <w:rsid w:val="00A668CA"/>
    <w:rsid w:val="00A73540"/>
    <w:rsid w:val="00AE1BA6"/>
    <w:rsid w:val="00AE4562"/>
    <w:rsid w:val="00B074C4"/>
    <w:rsid w:val="00B213A7"/>
    <w:rsid w:val="00B415E7"/>
    <w:rsid w:val="00B539EB"/>
    <w:rsid w:val="00B5581F"/>
    <w:rsid w:val="00B62FAF"/>
    <w:rsid w:val="00B62FEF"/>
    <w:rsid w:val="00BD0405"/>
    <w:rsid w:val="00BF739A"/>
    <w:rsid w:val="00C078C4"/>
    <w:rsid w:val="00C079B4"/>
    <w:rsid w:val="00C11B52"/>
    <w:rsid w:val="00C223B0"/>
    <w:rsid w:val="00C245FB"/>
    <w:rsid w:val="00C34D43"/>
    <w:rsid w:val="00C4702B"/>
    <w:rsid w:val="00C66691"/>
    <w:rsid w:val="00C772CC"/>
    <w:rsid w:val="00C82C4F"/>
    <w:rsid w:val="00C83103"/>
    <w:rsid w:val="00C86C31"/>
    <w:rsid w:val="00CA4EEE"/>
    <w:rsid w:val="00CA641D"/>
    <w:rsid w:val="00CD29F3"/>
    <w:rsid w:val="00CD352F"/>
    <w:rsid w:val="00CD728F"/>
    <w:rsid w:val="00CD78CB"/>
    <w:rsid w:val="00CE2C9F"/>
    <w:rsid w:val="00CE2E1E"/>
    <w:rsid w:val="00CE3E86"/>
    <w:rsid w:val="00CF5271"/>
    <w:rsid w:val="00CF7045"/>
    <w:rsid w:val="00D13F75"/>
    <w:rsid w:val="00D16F69"/>
    <w:rsid w:val="00D32181"/>
    <w:rsid w:val="00D519B6"/>
    <w:rsid w:val="00DA03CD"/>
    <w:rsid w:val="00DA4C8B"/>
    <w:rsid w:val="00DB156B"/>
    <w:rsid w:val="00DB2383"/>
    <w:rsid w:val="00DC036B"/>
    <w:rsid w:val="00DD3003"/>
    <w:rsid w:val="00DD69AB"/>
    <w:rsid w:val="00DD7176"/>
    <w:rsid w:val="00DE5E48"/>
    <w:rsid w:val="00DF09C5"/>
    <w:rsid w:val="00E13A31"/>
    <w:rsid w:val="00E2273A"/>
    <w:rsid w:val="00E27F02"/>
    <w:rsid w:val="00E30FF3"/>
    <w:rsid w:val="00E42842"/>
    <w:rsid w:val="00E4608F"/>
    <w:rsid w:val="00E50709"/>
    <w:rsid w:val="00E66BCC"/>
    <w:rsid w:val="00E734FE"/>
    <w:rsid w:val="00E83B61"/>
    <w:rsid w:val="00E86A6B"/>
    <w:rsid w:val="00EA4B78"/>
    <w:rsid w:val="00EB695F"/>
    <w:rsid w:val="00EC1167"/>
    <w:rsid w:val="00EC32DA"/>
    <w:rsid w:val="00EE34B4"/>
    <w:rsid w:val="00F019A1"/>
    <w:rsid w:val="00F11034"/>
    <w:rsid w:val="00F25FB5"/>
    <w:rsid w:val="00F77B37"/>
    <w:rsid w:val="00F859FC"/>
    <w:rsid w:val="00FA72BE"/>
    <w:rsid w:val="00FB16BE"/>
    <w:rsid w:val="00FC5234"/>
    <w:rsid w:val="00FD18D7"/>
    <w:rsid w:val="00FD2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;"/>
  <w14:docId w14:val="65E2474C"/>
  <w15:docId w15:val="{AF978D28-4B44-4A2C-9047-55947C34F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napToGrid w:val="0"/>
      <w:sz w:val="22"/>
      <w:szCs w:val="22"/>
      <w:lang w:val="en-GB" w:eastAsia="fr-FR"/>
    </w:rPr>
  </w:style>
  <w:style w:type="paragraph" w:styleId="Heading1">
    <w:name w:val="heading 1"/>
    <w:basedOn w:val="Normal"/>
    <w:next w:val="Normal"/>
    <w:link w:val="Heading1Char"/>
    <w:qFormat/>
    <w:locked/>
    <w:pPr>
      <w:keepNext/>
      <w:numPr>
        <w:numId w:val="42"/>
      </w:numPr>
      <w:spacing w:before="360" w:after="120" w:line="300" w:lineRule="exact"/>
      <w:outlineLvl w:val="0"/>
    </w:pPr>
    <w:rPr>
      <w:rFonts w:cs="Arial"/>
      <w:b/>
      <w:bCs/>
      <w:snapToGrid/>
      <w:sz w:val="24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locked/>
    <w:pPr>
      <w:keepNext/>
      <w:numPr>
        <w:ilvl w:val="1"/>
        <w:numId w:val="42"/>
      </w:numPr>
      <w:tabs>
        <w:tab w:val="left" w:pos="576"/>
      </w:tabs>
      <w:spacing w:after="120" w:line="300" w:lineRule="exact"/>
      <w:outlineLvl w:val="1"/>
    </w:pPr>
    <w:rPr>
      <w:rFonts w:cs="Arial"/>
      <w:b/>
      <w:bCs/>
      <w:iCs/>
      <w:snapToGrid/>
      <w:szCs w:val="28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locked/>
    <w:pPr>
      <w:keepNext/>
      <w:numPr>
        <w:ilvl w:val="2"/>
        <w:numId w:val="42"/>
      </w:numPr>
      <w:spacing w:after="120" w:line="300" w:lineRule="exact"/>
      <w:outlineLvl w:val="2"/>
    </w:pPr>
    <w:rPr>
      <w:rFonts w:cs="Arial"/>
      <w:b/>
      <w:bCs/>
      <w:snapToGrid/>
      <w:sz w:val="24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qFormat/>
    <w:locked/>
    <w:pPr>
      <w:keepNext/>
      <w:numPr>
        <w:ilvl w:val="3"/>
        <w:numId w:val="42"/>
      </w:numPr>
      <w:spacing w:before="240" w:after="60"/>
      <w:outlineLvl w:val="3"/>
    </w:pPr>
    <w:rPr>
      <w:rFonts w:ascii="Times New Roman" w:hAnsi="Times New Roman"/>
      <w:b/>
      <w:bCs/>
      <w:snapToGrid/>
      <w:sz w:val="28"/>
      <w:szCs w:val="28"/>
      <w:lang w:val="en-US" w:eastAsia="en-US"/>
    </w:rPr>
  </w:style>
  <w:style w:type="paragraph" w:styleId="Heading5">
    <w:name w:val="heading 5"/>
    <w:basedOn w:val="Normal"/>
    <w:next w:val="Normal"/>
    <w:link w:val="Heading5Char"/>
    <w:qFormat/>
    <w:locked/>
    <w:pPr>
      <w:numPr>
        <w:ilvl w:val="4"/>
        <w:numId w:val="42"/>
      </w:numPr>
      <w:spacing w:before="240" w:after="60"/>
      <w:outlineLvl w:val="4"/>
    </w:pPr>
    <w:rPr>
      <w:rFonts w:ascii="Times New Roman" w:hAnsi="Times New Roman"/>
      <w:b/>
      <w:bCs/>
      <w:i/>
      <w:iCs/>
      <w:snapToGrid/>
      <w:sz w:val="26"/>
      <w:szCs w:val="26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locked/>
    <w:pPr>
      <w:numPr>
        <w:ilvl w:val="5"/>
        <w:numId w:val="42"/>
      </w:numPr>
      <w:spacing w:before="240" w:after="60"/>
      <w:outlineLvl w:val="5"/>
    </w:pPr>
    <w:rPr>
      <w:rFonts w:ascii="Times New Roman" w:hAnsi="Times New Roman"/>
      <w:b/>
      <w:bCs/>
      <w:snapToGrid/>
      <w:lang w:val="en-US" w:eastAsia="en-US"/>
    </w:rPr>
  </w:style>
  <w:style w:type="paragraph" w:styleId="Heading7">
    <w:name w:val="heading 7"/>
    <w:basedOn w:val="Normal"/>
    <w:next w:val="Normal"/>
    <w:link w:val="Heading7Char"/>
    <w:qFormat/>
    <w:locked/>
    <w:pPr>
      <w:numPr>
        <w:ilvl w:val="6"/>
        <w:numId w:val="42"/>
      </w:numPr>
      <w:spacing w:before="240" w:after="60"/>
      <w:outlineLvl w:val="6"/>
    </w:pPr>
    <w:rPr>
      <w:rFonts w:ascii="Times New Roman" w:hAnsi="Times New Roman"/>
      <w:snapToGrid/>
      <w:sz w:val="24"/>
      <w:szCs w:val="24"/>
      <w:lang w:val="en-US" w:eastAsia="en-US"/>
    </w:rPr>
  </w:style>
  <w:style w:type="paragraph" w:styleId="Heading8">
    <w:name w:val="heading 8"/>
    <w:basedOn w:val="Normal"/>
    <w:next w:val="Normal"/>
    <w:link w:val="Heading8Char"/>
    <w:qFormat/>
    <w:locked/>
    <w:pPr>
      <w:numPr>
        <w:ilvl w:val="7"/>
        <w:numId w:val="42"/>
      </w:numPr>
      <w:spacing w:before="240" w:after="60"/>
      <w:outlineLvl w:val="7"/>
    </w:pPr>
    <w:rPr>
      <w:rFonts w:ascii="Times New Roman" w:hAnsi="Times New Roman"/>
      <w:i/>
      <w:iCs/>
      <w:snapToGrid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qFormat/>
    <w:locked/>
    <w:pPr>
      <w:numPr>
        <w:ilvl w:val="8"/>
        <w:numId w:val="42"/>
      </w:numPr>
      <w:spacing w:before="240" w:after="60"/>
      <w:outlineLvl w:val="8"/>
    </w:pPr>
    <w:rPr>
      <w:rFonts w:cs="Arial"/>
      <w:snapToGrid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Pr>
      <w:snapToGrid w:val="0"/>
      <w:lang w:val="en-US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rPr>
      <w:rFonts w:cs="Times New Roman"/>
    </w:rPr>
  </w:style>
  <w:style w:type="paragraph" w:styleId="BodyTextIndent">
    <w:name w:val="Body Text Indent"/>
    <w:basedOn w:val="Normal"/>
    <w:pPr>
      <w:ind w:left="162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Pr>
      <w:rFonts w:ascii="Times New Roman" w:hAnsi="Times New Roman"/>
      <w:sz w:val="16"/>
      <w:szCs w:val="16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systrantokenword">
    <w:name w:val="systran_token_word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systranseg">
    <w:name w:val="systran_seg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systrantokenpunctuation">
    <w:name w:val="systran_token_punctuation"/>
    <w:rPr>
      <w:rFonts w:ascii="Courier New" w:hAnsi="Courier New" w:cs="Times New Roman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  <w:style w:type="character" w:customStyle="1" w:styleId="Heading1Char">
    <w:name w:val="Heading 1 Char"/>
    <w:basedOn w:val="DefaultParagraphFont"/>
    <w:link w:val="Heading1"/>
    <w:rPr>
      <w:rFonts w:ascii="Arial" w:hAnsi="Arial" w:cs="Arial"/>
      <w:b/>
      <w:bCs/>
      <w:sz w:val="24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rPr>
      <w:rFonts w:ascii="Arial" w:hAnsi="Arial" w:cs="Arial"/>
      <w:b/>
      <w:bCs/>
      <w:iCs/>
      <w:sz w:val="22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rPr>
      <w:rFonts w:ascii="Arial" w:hAnsi="Arial" w:cs="Arial"/>
      <w:b/>
      <w:bCs/>
      <w:sz w:val="24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rPr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rPr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rPr>
      <w:b/>
      <w:bCs/>
      <w:sz w:val="22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rPr>
      <w:sz w:val="24"/>
      <w:szCs w:val="24"/>
      <w:lang w:val="en-US" w:eastAsia="en-US"/>
    </w:rPr>
  </w:style>
  <w:style w:type="character" w:customStyle="1" w:styleId="Heading8Char">
    <w:name w:val="Heading 8 Char"/>
    <w:basedOn w:val="DefaultParagraphFont"/>
    <w:link w:val="Heading8"/>
    <w:rPr>
      <w:i/>
      <w:iCs/>
      <w:sz w:val="24"/>
      <w:szCs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rPr>
      <w:rFonts w:ascii="Arial" w:hAnsi="Arial" w:cs="Arial"/>
      <w:sz w:val="22"/>
      <w:szCs w:val="22"/>
      <w:lang w:val="en-US" w:eastAsia="en-US"/>
    </w:rPr>
  </w:style>
  <w:style w:type="character" w:customStyle="1" w:styleId="FooterChar">
    <w:name w:val="Footer Char"/>
    <w:link w:val="Footer"/>
    <w:uiPriority w:val="99"/>
    <w:rPr>
      <w:rFonts w:ascii="Arial" w:hAnsi="Arial"/>
      <w:snapToGrid w:val="0"/>
      <w:sz w:val="22"/>
      <w:szCs w:val="22"/>
      <w:lang w:val="en-GB" w:eastAsia="fr-FR"/>
    </w:rPr>
  </w:style>
  <w:style w:type="character" w:customStyle="1" w:styleId="HeaderChar">
    <w:name w:val="Header Char"/>
    <w:link w:val="Header"/>
    <w:rPr>
      <w:rFonts w:ascii="Arial" w:hAnsi="Arial"/>
      <w:snapToGrid w:val="0"/>
      <w:sz w:val="22"/>
      <w:szCs w:val="22"/>
      <w:lang w:val="en-GB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73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jpeg"/><Relationship Id="rId18" Type="http://schemas.openxmlformats.org/officeDocument/2006/relationships/image" Target="media/image9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2.jpeg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image" Target="media/image8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7.jpeg"/><Relationship Id="rId20" Type="http://schemas.openxmlformats.org/officeDocument/2006/relationships/image" Target="media/image11.jpeg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6.jpeg"/><Relationship Id="rId23" Type="http://schemas.openxmlformats.org/officeDocument/2006/relationships/image" Target="media/image14.wmf"/><Relationship Id="rId28" Type="http://schemas.openxmlformats.org/officeDocument/2006/relationships/header" Target="header3.xml"/><Relationship Id="rId10" Type="http://schemas.openxmlformats.org/officeDocument/2006/relationships/image" Target="media/image1.jpeg"/><Relationship Id="rId19" Type="http://schemas.openxmlformats.org/officeDocument/2006/relationships/image" Target="media/image10.jpeg"/><Relationship Id="rId31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jpeg"/><Relationship Id="rId22" Type="http://schemas.openxmlformats.org/officeDocument/2006/relationships/image" Target="media/image13.jpe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0344af80-88ed-49c6-8710-a509718edc8d">Work Instructions</Document_x0020_Type>
    <Department xmlns="0344af80-88ed-49c6-8710-a509718edc8d">HSSE Contractors Management</Department>
    <Section xmlns="0344af80-88ed-49c6-8710-a509718edc8d">11</Section>
    <Vers_x002e_ xmlns="0344af80-88ed-49c6-8710-a509718edc8d">0</Vers_x002e_>
    <PublishingExpirationDate xmlns="http://schemas.microsoft.com/sharepoint/v3" xsi:nil="true"/>
    <PublishingStartDate xmlns="http://schemas.microsoft.com/sharepoint/v3" xsi:nil="true"/>
    <Operating_x0020_unit xmlns="0344af80-88ed-49c6-8710-a509718edc8d">Kuwait Petroleum North West Europe</Operating_x0020_unit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A598824BA31E4A902484AFA9A28DCF" ma:contentTypeVersion="6" ma:contentTypeDescription="Create a new document." ma:contentTypeScope="" ma:versionID="43bce6c02cfbc4d1493a2d9bd088ef5c">
  <xsd:schema xmlns:xsd="http://www.w3.org/2001/XMLSchema" xmlns:xs="http://www.w3.org/2001/XMLSchema" xmlns:p="http://schemas.microsoft.com/office/2006/metadata/properties" xmlns:ns1="http://schemas.microsoft.com/sharepoint/v3" xmlns:ns2="0344af80-88ed-49c6-8710-a509718edc8d" targetNamespace="http://schemas.microsoft.com/office/2006/metadata/properties" ma:root="true" ma:fieldsID="926f3d5acf7bd50e97b514d00ceb5c33" ns1:_="" ns2:_="">
    <xsd:import namespace="http://schemas.microsoft.com/sharepoint/v3"/>
    <xsd:import namespace="0344af80-88ed-49c6-8710-a509718edc8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perating_x0020_unit" minOccurs="0"/>
                <xsd:element ref="ns2:Department" minOccurs="0"/>
                <xsd:element ref="ns2:Section" minOccurs="0"/>
                <xsd:element ref="ns2:Document_x0020_Type" minOccurs="0"/>
                <xsd:element ref="ns2:Vers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44af80-88ed-49c6-8710-a509718edc8d" elementFormDefault="qualified">
    <xsd:import namespace="http://schemas.microsoft.com/office/2006/documentManagement/types"/>
    <xsd:import namespace="http://schemas.microsoft.com/office/infopath/2007/PartnerControls"/>
    <xsd:element name="Operating_x0020_unit" ma:index="10" nillable="true" ma:displayName="Operating Units" ma:default="Kuwait Petroleum International (Corporate)" ma:format="Dropdown" ma:internalName="Operating_x0020_unit">
      <xsd:simpleType>
        <xsd:restriction base="dms:Choice">
          <xsd:enumeration value="Kuwait Petroleum International (Corporate)"/>
          <xsd:enumeration value="Kuwait Petroleum International Head Office"/>
          <xsd:enumeration value="Kuwait Petroleum Italy"/>
          <xsd:enumeration value="Kuwait Petroleum North West Europe"/>
          <xsd:enumeration value="Kuwait Petroleum International Aviation Company Ltd."/>
          <xsd:enumeration value="Kuwait Petroleum Spain"/>
          <xsd:enumeration value="Kuwait Petroleum Research &amp; Technology"/>
          <xsd:enumeration value="Q8 Oils"/>
          <xsd:enumeration value="Global Cards Business"/>
        </xsd:restriction>
      </xsd:simpleType>
    </xsd:element>
    <xsd:element name="Department" ma:index="11" nillable="true" ma:displayName="Departments" ma:internalName="Department">
      <xsd:simpleType>
        <xsd:restriction base="dms:Text">
          <xsd:maxLength value="255"/>
        </xsd:restriction>
      </xsd:simpleType>
    </xsd:element>
    <xsd:element name="Section" ma:index="12" nillable="true" ma:displayName="Sections" ma:internalName="Section">
      <xsd:simpleType>
        <xsd:restriction base="dms:Text">
          <xsd:maxLength value="255"/>
        </xsd:restriction>
      </xsd:simpleType>
    </xsd:element>
    <xsd:element name="Document_x0020_Type" ma:index="13" nillable="true" ma:displayName="Document Type" ma:default="Policy" ma:format="Dropdown" ma:internalName="Document_x0020_Type">
      <xsd:simpleType>
        <xsd:restriction base="dms:Choice">
          <xsd:enumeration value="Policy"/>
          <xsd:enumeration value="Manual"/>
          <xsd:enumeration value="Procedure"/>
          <xsd:enumeration value="Work Instructions"/>
          <xsd:enumeration value="Guideline"/>
          <xsd:enumeration value="Annex"/>
          <xsd:enumeration value="Form"/>
          <xsd:enumeration value="Attachment"/>
          <xsd:enumeration value="External Document"/>
        </xsd:restriction>
      </xsd:simpleType>
    </xsd:element>
    <xsd:element name="Vers_x002e_" ma:index="14" nillable="true" ma:displayName="Vers." ma:decimals="0" ma:description="Document version" ma:internalName="Vers_x002e_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E1D081-F0E7-4A5A-8931-506D4212BDD8}">
  <ds:schemaRefs>
    <ds:schemaRef ds:uri="0344af80-88ed-49c6-8710-a509718edc8d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B5F2C6E6-19AC-4457-AA6F-D02D4B28C3F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77AFCD7-754D-4309-ADE9-AF69B9B314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44af80-88ed-49c6-8710-a509718edc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1139</Words>
  <Characters>6494</Characters>
  <Application>Microsoft Office Word</Application>
  <DocSecurity>4</DocSecurity>
  <Lines>54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TSR - Travail en Hauteur - Engins Elevateurs</vt:lpstr>
      <vt:lpstr>Project</vt:lpstr>
    </vt:vector>
  </TitlesOfParts>
  <Company>Kuwait Petroleum North West Europe</Company>
  <LinksUpToDate>false</LinksUpToDate>
  <CharactersWithSpaces>7618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TSR - Travail en Hauteur - Engins Elevateurs</dc:title>
  <dc:creator>panimmen</dc:creator>
  <cp:lastModifiedBy>An Cornelis</cp:lastModifiedBy>
  <cp:revision>2</cp:revision>
  <cp:lastPrinted>2012-01-25T11:02:00Z</cp:lastPrinted>
  <dcterms:created xsi:type="dcterms:W3CDTF">2018-02-06T14:40:00Z</dcterms:created>
  <dcterms:modified xsi:type="dcterms:W3CDTF">2018-02-06T14:40:00Z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0x0101004BA598824BA31E4A902484AFA9A28DCF</vt:lpwstr>
  </property>
  <property fmtid="{D5CDD505-2E9C-101B-9397-08002B2CF9AE}" pid="3" name="_CopySource">
    <vt:lpwstr>KPNWE.WI.11.HSCO.053.docx</vt:lpwstr>
  </property>
</Properties>
</file>